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общеобразовательное учреждение</w:t>
      </w:r>
    </w:p>
    <w:p>
      <w:pPr>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 xml:space="preserve">«Старокрымский учебно-воспитательный  комплекс № 1 </w:t>
      </w:r>
    </w:p>
    <w:p>
      <w:pPr>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 xml:space="preserve"> «Школа-гимназия» имени братьев-партизан Стояновых» </w:t>
      </w:r>
    </w:p>
    <w:p>
      <w:pPr>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Кировского района   Республики Крым</w:t>
      </w:r>
    </w:p>
    <w:p>
      <w:pPr>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 МБОУ  «Старокрымский УВК №1»)</w:t>
      </w:r>
    </w:p>
    <w:tbl>
      <w:tblPr>
        <w:tblStyle w:val="3"/>
        <w:tblpPr w:leftFromText="180" w:rightFromText="180" w:vertAnchor="text" w:horzAnchor="page" w:tblpX="1056" w:tblpY="13"/>
        <w:tblOverlap w:val="never"/>
        <w:tblW w:w="4963" w:type="pct"/>
        <w:tblInd w:w="0" w:type="dxa"/>
        <w:tblLayout w:type="fixed"/>
        <w:tblCellMar>
          <w:top w:w="0" w:type="dxa"/>
          <w:left w:w="108" w:type="dxa"/>
          <w:bottom w:w="0" w:type="dxa"/>
          <w:right w:w="108" w:type="dxa"/>
        </w:tblCellMar>
      </w:tblPr>
      <w:tblGrid>
        <w:gridCol w:w="3398"/>
        <w:gridCol w:w="2957"/>
        <w:gridCol w:w="3989"/>
      </w:tblGrid>
      <w:tr>
        <w:tblPrEx>
          <w:tblCellMar>
            <w:top w:w="0" w:type="dxa"/>
            <w:left w:w="108" w:type="dxa"/>
            <w:bottom w:w="0" w:type="dxa"/>
            <w:right w:w="108" w:type="dxa"/>
          </w:tblCellMar>
        </w:tblPrEx>
        <w:trPr>
          <w:trHeight w:val="2354" w:hRule="atLeast"/>
        </w:trPr>
        <w:tc>
          <w:tcPr>
            <w:tcW w:w="1642" w:type="pct"/>
            <w:tcBorders>
              <w:top w:val="single" w:color="auto" w:sz="4" w:space="0"/>
              <w:left w:val="single" w:color="auto" w:sz="4" w:space="0"/>
              <w:bottom w:val="single" w:color="auto" w:sz="4" w:space="0"/>
              <w:right w:val="single" w:color="auto" w:sz="4" w:space="0"/>
            </w:tcBorders>
          </w:tcPr>
          <w:p>
            <w:pPr>
              <w:tabs>
                <w:tab w:val="left" w:pos="9288"/>
              </w:tabs>
              <w:rPr>
                <w:rFonts w:ascii="Times New Roman" w:hAnsi="Times New Roman" w:cs="Times New Roman"/>
                <w:b/>
              </w:rPr>
            </w:pPr>
            <w:r>
              <w:rPr>
                <w:rFonts w:ascii="Times New Roman" w:hAnsi="Times New Roman" w:cs="Times New Roman"/>
                <w:b/>
              </w:rPr>
              <w:t xml:space="preserve">РАССМОТРЕНА </w:t>
            </w:r>
          </w:p>
          <w:p>
            <w:pPr>
              <w:tabs>
                <w:tab w:val="left" w:pos="9288"/>
              </w:tabs>
              <w:rPr>
                <w:rFonts w:ascii="Times New Roman" w:hAnsi="Times New Roman" w:cs="Times New Roman"/>
              </w:rPr>
            </w:pPr>
            <w:r>
              <w:rPr>
                <w:rFonts w:ascii="Times New Roman" w:hAnsi="Times New Roman" w:cs="Times New Roman"/>
              </w:rPr>
              <w:t xml:space="preserve">на заседании школьного МО </w:t>
            </w:r>
          </w:p>
          <w:p>
            <w:pPr>
              <w:tabs>
                <w:tab w:val="left" w:pos="9288"/>
              </w:tabs>
              <w:jc w:val="both"/>
              <w:rPr>
                <w:rFonts w:ascii="Times New Roman" w:hAnsi="Times New Roman" w:cs="Times New Roman"/>
              </w:rPr>
            </w:pPr>
            <w:r>
              <w:rPr>
                <w:rFonts w:ascii="Times New Roman" w:hAnsi="Times New Roman" w:cs="Times New Roman"/>
              </w:rPr>
              <w:t>Протокол   от</w:t>
            </w:r>
          </w:p>
          <w:p>
            <w:pPr>
              <w:tabs>
                <w:tab w:val="left" w:pos="9288"/>
              </w:tabs>
              <w:jc w:val="both"/>
              <w:rPr>
                <w:rFonts w:ascii="Times New Roman" w:hAnsi="Times New Roman" w:cs="Times New Roman"/>
              </w:rPr>
            </w:pPr>
            <w:r>
              <w:rPr>
                <w:rFonts w:ascii="Times New Roman" w:hAnsi="Times New Roman" w:cs="Times New Roman"/>
              </w:rPr>
              <w:t>«_18.08._»__2023г.</w:t>
            </w:r>
          </w:p>
          <w:p>
            <w:pPr>
              <w:tabs>
                <w:tab w:val="left" w:pos="9288"/>
              </w:tabs>
              <w:rPr>
                <w:rFonts w:ascii="Times New Roman" w:hAnsi="Times New Roman" w:cs="Times New Roman"/>
              </w:rPr>
            </w:pPr>
            <w:r>
              <w:rPr>
                <w:rFonts w:ascii="Times New Roman" w:hAnsi="Times New Roman" w:cs="Times New Roman"/>
              </w:rPr>
              <w:t>№ _3__</w:t>
            </w:r>
          </w:p>
        </w:tc>
        <w:tc>
          <w:tcPr>
            <w:tcW w:w="1429" w:type="pct"/>
            <w:tcBorders>
              <w:top w:val="single" w:color="auto" w:sz="4" w:space="0"/>
              <w:left w:val="single" w:color="auto" w:sz="4" w:space="0"/>
              <w:bottom w:val="single" w:color="auto" w:sz="4" w:space="0"/>
              <w:right w:val="single" w:color="auto" w:sz="4" w:space="0"/>
            </w:tcBorders>
          </w:tcPr>
          <w:p>
            <w:pPr>
              <w:tabs>
                <w:tab w:val="left" w:pos="708"/>
                <w:tab w:val="left" w:pos="9288"/>
              </w:tabs>
              <w:suppressAutoHyphens/>
              <w:snapToGrid w:val="0"/>
              <w:rPr>
                <w:rFonts w:ascii="Times New Roman" w:hAnsi="Times New Roman" w:eastAsia="Calibri" w:cs="Times New Roman"/>
              </w:rPr>
            </w:pPr>
            <w:r>
              <w:rPr>
                <w:rFonts w:ascii="Times New Roman" w:hAnsi="Times New Roman" w:eastAsia="Calibri" w:cs="Times New Roman"/>
                <w:b/>
              </w:rPr>
              <w:t>СОГЛАСОВАНА</w:t>
            </w:r>
          </w:p>
          <w:p>
            <w:pPr>
              <w:tabs>
                <w:tab w:val="left" w:pos="708"/>
                <w:tab w:val="left" w:pos="9288"/>
              </w:tabs>
              <w:suppressAutoHyphens/>
              <w:rPr>
                <w:rFonts w:ascii="Times New Roman" w:hAnsi="Times New Roman" w:eastAsia="Calibri" w:cs="Times New Roman"/>
              </w:rPr>
            </w:pPr>
            <w:r>
              <w:rPr>
                <w:rFonts w:ascii="Times New Roman" w:hAnsi="Times New Roman" w:eastAsia="Calibri" w:cs="Times New Roman"/>
              </w:rPr>
              <w:t>заместитель директора</w:t>
            </w:r>
          </w:p>
          <w:p>
            <w:pPr>
              <w:tabs>
                <w:tab w:val="left" w:pos="708"/>
                <w:tab w:val="left" w:pos="9288"/>
              </w:tabs>
              <w:suppressAutoHyphens/>
              <w:rPr>
                <w:rFonts w:ascii="Times New Roman" w:hAnsi="Times New Roman" w:eastAsia="Calibri" w:cs="Times New Roman"/>
              </w:rPr>
            </w:pPr>
            <w:r>
              <w:rPr>
                <w:rFonts w:ascii="Times New Roman" w:hAnsi="Times New Roman" w:eastAsia="Calibri" w:cs="Times New Roman"/>
              </w:rPr>
              <w:t>по УВР</w:t>
            </w:r>
          </w:p>
          <w:p>
            <w:pPr>
              <w:tabs>
                <w:tab w:val="left" w:pos="708"/>
                <w:tab w:val="left" w:pos="9288"/>
              </w:tabs>
              <w:suppressAutoHyphens/>
              <w:rPr>
                <w:rFonts w:ascii="Times New Roman" w:hAnsi="Times New Roman" w:eastAsia="Calibri" w:cs="Times New Roman"/>
              </w:rPr>
            </w:pPr>
            <w:r>
              <w:rPr>
                <w:rFonts w:ascii="Times New Roman" w:hAnsi="Times New Roman" w:eastAsia="Calibri" w:cs="Times New Roman"/>
              </w:rPr>
              <w:t>_____Меметова Л.С.</w:t>
            </w:r>
          </w:p>
          <w:p>
            <w:pPr>
              <w:tabs>
                <w:tab w:val="left" w:pos="708"/>
                <w:tab w:val="left" w:pos="9288"/>
              </w:tabs>
              <w:suppressAutoHyphens/>
              <w:rPr>
                <w:rFonts w:ascii="Times New Roman" w:hAnsi="Times New Roman" w:eastAsia="Calibri" w:cs="Times New Roman"/>
                <w:b/>
              </w:rPr>
            </w:pPr>
            <w:r>
              <w:rPr>
                <w:rFonts w:ascii="Times New Roman" w:hAnsi="Times New Roman" w:eastAsia="Calibri" w:cs="Times New Roman"/>
              </w:rPr>
              <w:t>«_18_»__08__2023г.</w:t>
            </w:r>
          </w:p>
        </w:tc>
        <w:tc>
          <w:tcPr>
            <w:tcW w:w="1928" w:type="pct"/>
            <w:tcBorders>
              <w:top w:val="single" w:color="auto" w:sz="4" w:space="0"/>
              <w:left w:val="single" w:color="auto" w:sz="4" w:space="0"/>
              <w:bottom w:val="single" w:color="auto" w:sz="4" w:space="0"/>
              <w:right w:val="single" w:color="auto" w:sz="4" w:space="0"/>
            </w:tcBorders>
          </w:tcPr>
          <w:p>
            <w:pPr>
              <w:tabs>
                <w:tab w:val="left" w:pos="708"/>
                <w:tab w:val="left" w:pos="9288"/>
              </w:tabs>
              <w:suppressAutoHyphens/>
              <w:snapToGrid w:val="0"/>
              <w:rPr>
                <w:rFonts w:ascii="Times New Roman" w:hAnsi="Times New Roman" w:eastAsia="Calibri" w:cs="Times New Roman"/>
              </w:rPr>
            </w:pPr>
            <w:r>
              <w:rPr>
                <w:rFonts w:ascii="Times New Roman" w:hAnsi="Times New Roman" w:eastAsia="Calibri" w:cs="Times New Roman"/>
                <w:b/>
              </w:rPr>
              <w:t xml:space="preserve">                 УТВЕРЖДЕНА</w:t>
            </w:r>
          </w:p>
          <w:p>
            <w:pPr>
              <w:jc w:val="center"/>
              <w:rPr>
                <w:rFonts w:ascii="Times New Roman" w:hAnsi="Times New Roman" w:cs="Times New Roman"/>
                <w:shd w:val="clear" w:color="auto" w:fill="FFFFFF"/>
              </w:rPr>
            </w:pPr>
            <w:r>
              <w:rPr>
                <w:rFonts w:ascii="Times New Roman" w:hAnsi="Times New Roman" w:cs="Times New Roman"/>
              </w:rPr>
              <w:t xml:space="preserve">приказом директора МБОУ </w:t>
            </w:r>
            <w:r>
              <w:rPr>
                <w:rFonts w:ascii="Times New Roman" w:hAnsi="Times New Roman" w:cs="Times New Roman"/>
                <w:b/>
                <w:bCs/>
              </w:rPr>
              <w:t xml:space="preserve"> </w:t>
            </w:r>
            <w:r>
              <w:rPr>
                <w:rFonts w:ascii="Times New Roman" w:hAnsi="Times New Roman" w:cs="Times New Roman"/>
                <w:shd w:val="clear" w:color="auto" w:fill="FFFFFF"/>
              </w:rPr>
              <w:t>«Старокрымский УВК №1 «Школа-гимназия»</w:t>
            </w:r>
          </w:p>
          <w:p>
            <w:pPr>
              <w:jc w:val="center"/>
              <w:rPr>
                <w:rFonts w:ascii="Times New Roman" w:hAnsi="Times New Roman" w:cs="Times New Roman"/>
                <w:shd w:val="clear" w:color="auto" w:fill="FFFFFF"/>
              </w:rPr>
            </w:pPr>
            <w:r>
              <w:rPr>
                <w:rFonts w:ascii="Times New Roman" w:hAnsi="Times New Roman" w:cs="Times New Roman"/>
                <w:shd w:val="clear" w:color="auto" w:fill="FFFFFF"/>
              </w:rPr>
              <w:t>______________ Н.Г. Лысенко</w:t>
            </w:r>
          </w:p>
          <w:p>
            <w:pPr>
              <w:tabs>
                <w:tab w:val="left" w:pos="708"/>
                <w:tab w:val="left" w:pos="9288"/>
              </w:tabs>
              <w:suppressAutoHyphens/>
              <w:rPr>
                <w:rFonts w:ascii="Times New Roman" w:hAnsi="Times New Roman" w:eastAsia="Calibri" w:cs="Times New Roman"/>
              </w:rPr>
            </w:pPr>
            <w:r>
              <w:rPr>
                <w:rFonts w:ascii="Times New Roman" w:hAnsi="Times New Roman" w:eastAsia="Calibri" w:cs="Times New Roman"/>
              </w:rPr>
              <w:t xml:space="preserve">Приказ от «18»08.2023г. № </w:t>
            </w:r>
          </w:p>
        </w:tc>
      </w:tr>
    </w:tbl>
    <w:p>
      <w:pPr>
        <w:jc w:val="center"/>
        <w:rPr>
          <w:rFonts w:ascii="Times New Roman" w:hAnsi="Times New Roman" w:cs="Times New Roman"/>
          <w:sz w:val="24"/>
          <w:szCs w:val="24"/>
        </w:rPr>
      </w:pPr>
    </w:p>
    <w:p>
      <w:pPr>
        <w:jc w:val="both"/>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 xml:space="preserve">Рабочая программа </w:t>
      </w:r>
    </w:p>
    <w:p>
      <w:pPr>
        <w:jc w:val="center"/>
        <w:rPr>
          <w:rFonts w:ascii="Times New Roman" w:hAnsi="Times New Roman" w:cs="Times New Roman"/>
          <w:b/>
          <w:sz w:val="24"/>
          <w:szCs w:val="24"/>
        </w:rPr>
      </w:pPr>
      <w:r>
        <w:rPr>
          <w:rFonts w:ascii="Times New Roman" w:hAnsi="Times New Roman" w:cs="Times New Roman"/>
          <w:b/>
          <w:sz w:val="24"/>
          <w:szCs w:val="24"/>
        </w:rPr>
        <w:t>по внеурочной деятельности «Р</w:t>
      </w:r>
      <w:r>
        <w:rPr>
          <w:rFonts w:ascii="Times New Roman" w:hAnsi="Times New Roman" w:cs="Times New Roman"/>
          <w:b/>
          <w:sz w:val="24"/>
          <w:szCs w:val="24"/>
          <w:lang w:val="ru-RU"/>
        </w:rPr>
        <w:t>оссия</w:t>
      </w:r>
      <w:r>
        <w:rPr>
          <w:rFonts w:hint="default" w:ascii="Times New Roman" w:hAnsi="Times New Roman" w:cs="Times New Roman"/>
          <w:b/>
          <w:sz w:val="24"/>
          <w:szCs w:val="24"/>
          <w:lang w:val="ru-RU"/>
        </w:rPr>
        <w:t>-мои горизонты</w:t>
      </w:r>
      <w:r>
        <w:rPr>
          <w:rFonts w:ascii="Times New Roman" w:hAnsi="Times New Roman" w:cs="Times New Roman"/>
          <w:b/>
          <w:sz w:val="24"/>
          <w:szCs w:val="24"/>
        </w:rPr>
        <w:t>»</w:t>
      </w:r>
    </w:p>
    <w:p>
      <w:pPr>
        <w:jc w:val="center"/>
        <w:rPr>
          <w:rFonts w:hint="default" w:ascii="Times New Roman" w:hAnsi="Times New Roman" w:cs="Times New Roman"/>
          <w:sz w:val="24"/>
          <w:szCs w:val="24"/>
          <w:lang w:val="ru-RU"/>
        </w:rPr>
      </w:pPr>
      <w:r>
        <w:rPr>
          <w:rFonts w:ascii="Times New Roman" w:hAnsi="Times New Roman" w:cs="Times New Roman"/>
          <w:b/>
          <w:sz w:val="24"/>
          <w:szCs w:val="24"/>
        </w:rPr>
        <w:t xml:space="preserve">  </w:t>
      </w:r>
      <w:r>
        <w:rPr>
          <w:rFonts w:ascii="Times New Roman" w:hAnsi="Times New Roman" w:cs="Times New Roman"/>
          <w:b/>
          <w:sz w:val="24"/>
          <w:szCs w:val="24"/>
          <w:lang w:val="ru-RU"/>
        </w:rPr>
        <w:t>для</w:t>
      </w:r>
      <w:r>
        <w:rPr>
          <w:rFonts w:hint="default" w:ascii="Times New Roman" w:hAnsi="Times New Roman" w:cs="Times New Roman"/>
          <w:b/>
          <w:sz w:val="24"/>
          <w:szCs w:val="24"/>
          <w:lang w:val="ru-RU"/>
        </w:rPr>
        <w:t xml:space="preserve"> </w:t>
      </w:r>
      <w:r>
        <w:rPr>
          <w:rFonts w:ascii="Times New Roman" w:hAnsi="Times New Roman" w:cs="Times New Roman"/>
          <w:b/>
          <w:sz w:val="24"/>
          <w:szCs w:val="24"/>
        </w:rPr>
        <w:t xml:space="preserve">   </w:t>
      </w:r>
      <w:r>
        <w:rPr>
          <w:rFonts w:hint="default" w:ascii="Times New Roman" w:hAnsi="Times New Roman" w:cs="Times New Roman"/>
          <w:b/>
          <w:sz w:val="24"/>
          <w:szCs w:val="24"/>
          <w:lang w:val="ru-RU"/>
        </w:rPr>
        <w:t xml:space="preserve">6 </w:t>
      </w:r>
      <w:r>
        <w:rPr>
          <w:rFonts w:ascii="Times New Roman" w:hAnsi="Times New Roman" w:cs="Times New Roman"/>
          <w:b/>
          <w:sz w:val="24"/>
          <w:szCs w:val="24"/>
        </w:rPr>
        <w:t xml:space="preserve"> класс</w:t>
      </w:r>
      <w:r>
        <w:rPr>
          <w:rFonts w:ascii="Times New Roman" w:hAnsi="Times New Roman" w:cs="Times New Roman"/>
          <w:b/>
          <w:sz w:val="24"/>
          <w:szCs w:val="24"/>
          <w:lang w:val="ru-RU"/>
        </w:rPr>
        <w:t>ов</w:t>
      </w:r>
    </w:p>
    <w:p>
      <w:pPr>
        <w:ind w:firstLine="720"/>
        <w:jc w:val="both"/>
        <w:rPr>
          <w:rFonts w:ascii="Times New Roman" w:hAnsi="Times New Roman" w:cs="Times New Roman"/>
          <w:sz w:val="24"/>
          <w:szCs w:val="24"/>
        </w:rPr>
      </w:pPr>
    </w:p>
    <w:p>
      <w:pPr>
        <w:tabs>
          <w:tab w:val="left" w:pos="3495"/>
        </w:tabs>
        <w:jc w:val="center"/>
        <w:rPr>
          <w:rFonts w:hint="default" w:ascii="Times New Roman" w:hAnsi="Times New Roman" w:cs="Times New Roman"/>
          <w:b/>
          <w:bCs/>
          <w:iCs/>
          <w:sz w:val="24"/>
          <w:szCs w:val="24"/>
          <w:lang w:val="ru-RU"/>
        </w:rPr>
      </w:pPr>
      <w:r>
        <w:rPr>
          <w:rFonts w:ascii="Times New Roman" w:hAnsi="Times New Roman" w:cs="Times New Roman"/>
          <w:b/>
          <w:bCs/>
          <w:iCs/>
          <w:sz w:val="24"/>
          <w:szCs w:val="24"/>
        </w:rPr>
        <w:t xml:space="preserve">Количество часов: </w:t>
      </w:r>
      <w:r>
        <w:rPr>
          <w:rFonts w:hint="default" w:ascii="Times New Roman" w:hAnsi="Times New Roman" w:cs="Times New Roman"/>
          <w:b/>
          <w:bCs/>
          <w:iCs/>
          <w:sz w:val="24"/>
          <w:szCs w:val="24"/>
          <w:lang w:val="ru-RU"/>
        </w:rPr>
        <w:t>34</w:t>
      </w:r>
      <w:bookmarkStart w:id="0" w:name="_GoBack"/>
      <w:bookmarkEnd w:id="0"/>
    </w:p>
    <w:p>
      <w:pPr>
        <w:ind w:firstLine="720"/>
        <w:jc w:val="center"/>
        <w:rPr>
          <w:rFonts w:ascii="Times New Roman" w:hAnsi="Times New Roman" w:cs="Times New Roman"/>
          <w:b/>
          <w:bCs/>
          <w:iCs/>
          <w:sz w:val="24"/>
          <w:szCs w:val="24"/>
        </w:rPr>
      </w:pPr>
    </w:p>
    <w:p>
      <w:pPr>
        <w:ind w:firstLine="6023" w:firstLineChars="2500"/>
        <w:jc w:val="both"/>
        <w:rPr>
          <w:rFonts w:ascii="Times New Roman" w:hAnsi="Times New Roman" w:cs="Times New Roman"/>
          <w:b/>
          <w:sz w:val="24"/>
          <w:szCs w:val="24"/>
        </w:rPr>
      </w:pPr>
      <w:r>
        <w:rPr>
          <w:rFonts w:ascii="Times New Roman" w:hAnsi="Times New Roman" w:cs="Times New Roman"/>
          <w:b/>
          <w:sz w:val="24"/>
          <w:szCs w:val="24"/>
        </w:rPr>
        <w:t>2023/2024   учебный год</w:t>
      </w:r>
    </w:p>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Содержание</w:t>
      </w:r>
    </w:p>
    <w:p>
      <w:pPr>
        <w:spacing w:after="0" w:line="240" w:lineRule="auto"/>
        <w:ind w:left="360"/>
        <w:jc w:val="center"/>
        <w:rPr>
          <w:rFonts w:ascii="Times New Roman" w:hAnsi="Times New Roman" w:eastAsia="Times New Roman" w:cs="Times New Roman"/>
          <w:b/>
          <w:lang w:eastAsia="ru-RU"/>
        </w:rPr>
      </w:pPr>
    </w:p>
    <w:p>
      <w:pPr>
        <w:ind w:left="330"/>
        <w:rPr>
          <w:rFonts w:ascii="Times New Roman" w:hAnsi="Times New Roman"/>
          <w:sz w:val="24"/>
          <w:szCs w:val="24"/>
        </w:rPr>
      </w:pPr>
      <w:r>
        <w:rPr>
          <w:rFonts w:ascii="Times New Roman" w:hAnsi="Times New Roman"/>
          <w:sz w:val="24"/>
          <w:szCs w:val="24"/>
        </w:rPr>
        <w:t>1. Пояснительная записка.</w:t>
      </w:r>
    </w:p>
    <w:p>
      <w:pPr>
        <w:ind w:left="360"/>
        <w:contextualSpacing/>
        <w:rPr>
          <w:rFonts w:ascii="Times New Roman" w:hAnsi="Times New Roman" w:eastAsiaTheme="minorHAnsi"/>
          <w:sz w:val="24"/>
          <w:szCs w:val="24"/>
          <w:lang w:eastAsia="en-US"/>
        </w:rPr>
      </w:pPr>
      <w:r>
        <w:rPr>
          <w:rFonts w:ascii="Times New Roman" w:hAnsi="Times New Roman" w:eastAsiaTheme="minorHAnsi"/>
          <w:sz w:val="24"/>
          <w:szCs w:val="24"/>
          <w:lang w:eastAsia="en-US"/>
        </w:rPr>
        <w:t>2.Содержание обучения.</w:t>
      </w:r>
    </w:p>
    <w:p>
      <w:pPr>
        <w:ind w:left="360"/>
        <w:contextualSpacing/>
        <w:rPr>
          <w:rFonts w:ascii="Times New Roman" w:hAnsi="Times New Roman" w:eastAsiaTheme="minorHAnsi"/>
          <w:sz w:val="24"/>
          <w:szCs w:val="24"/>
          <w:lang w:eastAsia="en-US"/>
        </w:rPr>
      </w:pPr>
    </w:p>
    <w:p>
      <w:pPr>
        <w:ind w:left="360"/>
        <w:contextualSpacing/>
        <w:rPr>
          <w:rFonts w:ascii="Times New Roman" w:hAnsi="Times New Roman" w:eastAsiaTheme="minorHAnsi"/>
          <w:sz w:val="24"/>
          <w:szCs w:val="24"/>
          <w:lang w:eastAsia="en-US"/>
        </w:rPr>
      </w:pPr>
      <w:r>
        <w:rPr>
          <w:rFonts w:ascii="Times New Roman" w:hAnsi="Times New Roman" w:eastAsiaTheme="minorHAnsi"/>
          <w:sz w:val="24"/>
          <w:szCs w:val="24"/>
          <w:lang w:eastAsia="en-US"/>
        </w:rPr>
        <w:t>3.Планируемые результаты освоения программы.</w:t>
      </w:r>
    </w:p>
    <w:p>
      <w:pPr>
        <w:ind w:left="360"/>
        <w:contextualSpacing/>
        <w:rPr>
          <w:rFonts w:ascii="Times New Roman" w:hAnsi="Times New Roman" w:eastAsiaTheme="minorHAnsi"/>
          <w:sz w:val="24"/>
          <w:szCs w:val="24"/>
          <w:lang w:eastAsia="en-US"/>
        </w:rPr>
      </w:pPr>
    </w:p>
    <w:p>
      <w:pPr>
        <w:ind w:left="360"/>
        <w:contextualSpacing/>
        <w:rPr>
          <w:rFonts w:ascii="Times New Roman" w:hAnsi="Times New Roman" w:eastAsiaTheme="minorHAnsi"/>
          <w:sz w:val="24"/>
          <w:szCs w:val="24"/>
          <w:lang w:eastAsia="en-US"/>
        </w:rPr>
      </w:pPr>
      <w:r>
        <w:rPr>
          <w:rFonts w:ascii="Times New Roman" w:hAnsi="Times New Roman" w:eastAsiaTheme="minorHAnsi"/>
          <w:sz w:val="24"/>
          <w:szCs w:val="24"/>
          <w:lang w:eastAsia="en-US"/>
        </w:rPr>
        <w:t>4.Приложение к рабочей программе</w:t>
      </w:r>
    </w:p>
    <w:p>
      <w:pPr>
        <w:spacing w:after="0" w:line="240" w:lineRule="auto"/>
        <w:ind w:left="360"/>
        <w:jc w:val="center"/>
        <w:rPr>
          <w:rFonts w:ascii="Times New Roman" w:hAnsi="Times New Roman" w:eastAsia="Times New Roman" w:cs="Times New Roman"/>
          <w:b/>
          <w:lang w:eastAsia="ru-RU"/>
        </w:rPr>
      </w:pPr>
    </w:p>
    <w:p>
      <w:pPr>
        <w:spacing w:after="0" w:line="240" w:lineRule="auto"/>
        <w:ind w:left="360"/>
        <w:jc w:val="center"/>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jc w:val="both"/>
        <w:rPr>
          <w:rFonts w:ascii="Times New Roman" w:hAnsi="Times New Roman" w:eastAsia="Times New Roman" w:cs="Times New Roman"/>
          <w:b/>
          <w:lang w:eastAsia="ru-RU"/>
        </w:rPr>
      </w:pPr>
    </w:p>
    <w:p>
      <w:pPr>
        <w:spacing w:after="0" w:line="240" w:lineRule="auto"/>
        <w:ind w:left="360"/>
        <w:rPr>
          <w:rFonts w:ascii="Times New Roman" w:hAnsi="Times New Roman" w:eastAsia="Times New Roman" w:cs="Times New Roman"/>
          <w:b/>
          <w:lang w:eastAsia="ru-RU"/>
        </w:rPr>
      </w:pPr>
    </w:p>
    <w:p>
      <w:pPr>
        <w:spacing w:after="0" w:line="240" w:lineRule="auto"/>
        <w:ind w:left="360"/>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1.Пояснительная записка </w:t>
      </w:r>
    </w:p>
    <w:p>
      <w:pPr>
        <w:spacing w:after="0" w:line="270" w:lineRule="atLeast"/>
        <w:ind w:left="568"/>
        <w:jc w:val="both"/>
        <w:rPr>
          <w:rFonts w:ascii="Times New Roman" w:hAnsi="Times New Roman" w:eastAsia="SimSun" w:cs="Times New Roman"/>
          <w:sz w:val="24"/>
          <w:szCs w:val="24"/>
        </w:rPr>
      </w:pPr>
      <w:r>
        <w:rPr>
          <w:rFonts w:ascii="SimSun" w:hAnsi="SimSun" w:eastAsia="SimSun" w:cs="SimSun"/>
          <w:sz w:val="24"/>
          <w:szCs w:val="24"/>
        </w:rPr>
        <w:t xml:space="preserve"> </w:t>
      </w:r>
    </w:p>
    <w:p>
      <w:pPr>
        <w:spacing w:after="0" w:line="270" w:lineRule="atLeast"/>
        <w:jc w:val="both"/>
        <w:rPr>
          <w:rFonts w:hint="default" w:ascii="Times New Roman" w:hAnsi="Times New Roman" w:eastAsia="SimSun" w:cs="Times New Roman"/>
          <w:sz w:val="24"/>
          <w:szCs w:val="24"/>
        </w:rPr>
      </w:pPr>
      <w:r>
        <w:rPr>
          <w:rFonts w:ascii="Times New Roman" w:hAnsi="Times New Roman" w:cs="Times New Roman"/>
          <w:sz w:val="24"/>
          <w:szCs w:val="24"/>
        </w:rPr>
        <w:t xml:space="preserve">   </w:t>
      </w:r>
      <w:r>
        <w:rPr>
          <w:rFonts w:hint="default" w:ascii="Times New Roman" w:hAnsi="Times New Roman" w:cs="Times New Roman"/>
          <w:sz w:val="24"/>
          <w:szCs w:val="24"/>
        </w:rPr>
        <w:t xml:space="preserve">    </w:t>
      </w:r>
      <w:r>
        <w:rPr>
          <w:rFonts w:hint="default" w:ascii="Times New Roman" w:hAnsi="Times New Roman" w:eastAsia="SimSun" w:cs="Times New Roman"/>
          <w:sz w:val="24"/>
          <w:szCs w:val="24"/>
        </w:rPr>
        <w:t xml:space="preserve">Рабочая программа курса внеурочной деятельности по профориентации «Россия – мои горизонты» разработана в соответствии с: - Федеральным законом от 29.12.2012 №273-ФЗ «Об образовании в Российской Федерации» - Федеральным законом от 31.07.2020 № 304-ФЗ «О внесении изменений в Федеральный закон “Об образовании в Российской Федерации” по вопросам воспитания обучающихся, во исполнение поручений Президента РФ Пр-328 п. 1 от 23.02.2018 года, Пр-2182 от 20.12.2020 года» - Федеральным государственным образовательным стандартом основного общего образования, утвержденным приказом Минпросвещения России от 31.05.2021 № 287 (далее – ФГОС ООО), - Федеральной образовательной программой основного общего образования, утвержденной приказом Минпросвещения России от 18.05.20223 №370 (далее – ФОП ООО), - методическими рекомендациями Минпросвещения «О реализации проекта «Билет в будущее», утвержденными распоряжением Р-97 от 23 сентября 2019г. - Положением об организации внеурочной деятельности в </w:t>
      </w:r>
      <w:r>
        <w:rPr>
          <w:rFonts w:hint="default" w:ascii="Times New Roman" w:hAnsi="Times New Roman" w:eastAsia="SimSun" w:cs="Times New Roman"/>
          <w:sz w:val="24"/>
          <w:szCs w:val="24"/>
          <w:lang w:val="ru-RU"/>
        </w:rPr>
        <w:t>«Старокрымский УВК № 1</w:t>
      </w:r>
      <w:r>
        <w:rPr>
          <w:rFonts w:hint="default" w:ascii="Times New Roman" w:hAnsi="Times New Roman" w:eastAsia="SimSun" w:cs="Times New Roman"/>
          <w:sz w:val="24"/>
          <w:szCs w:val="24"/>
        </w:rPr>
        <w:t>» - Примерной рабочей программой курса внеурочной деятельности «Билет в будущее» (основное общее и среднее общее образование), одобренной решением федерального учебно</w:t>
      </w:r>
      <w:r>
        <w:rPr>
          <w:rFonts w:hint="default" w:ascii="Times New Roman" w:hAnsi="Times New Roman" w:eastAsia="SimSun" w:cs="Times New Roman"/>
          <w:sz w:val="24"/>
          <w:szCs w:val="24"/>
        </w:rPr>
        <w:t/>
      </w:r>
      <w:r>
        <w:rPr>
          <w:rFonts w:hint="default" w:ascii="Times New Roman" w:hAnsi="Times New Roman" w:eastAsia="SimSun" w:cs="Times New Roman"/>
          <w:sz w:val="24"/>
          <w:szCs w:val="24"/>
        </w:rPr>
        <w:t>методического объединения по общему образованию (протокол от 29 сентября 2022г. №7/22)</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b/>
          <w:bCs/>
          <w:sz w:val="24"/>
          <w:szCs w:val="24"/>
        </w:rPr>
        <w:t xml:space="preserve">Актуальность и назначение программы </w:t>
      </w:r>
      <w:r>
        <w:rPr>
          <w:rFonts w:hint="default" w:ascii="Times New Roman" w:hAnsi="Times New Roman" w:eastAsia="SimSun" w:cs="Times New Roman"/>
          <w:sz w:val="24"/>
          <w:szCs w:val="24"/>
        </w:rPr>
        <w:t xml:space="preserve">курса внеурочной деятельности Рабочая программа курса внеурочной деятельности разработана с целью реализации комплексной и систематической профориентационной работы для обучающихся 6-9 классов на основе апробированных материалов Всероссийского проекта «Билет в будущее» (далее — проект).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Внеурочная деятельность — важная часть основной образовательной программы общего образования, в рамках которой педагогический коллектив образовательной организации обеспечивает достижение предметных, метапредметных и личностных результатов за счет использования потенциала разнообразия форм образовательной деятельности, организации содержательного взаимодействия с предметной развивающей средой. Одним из значимых направлений внеурочной деятельности является ранняя профориентация обучающихся 6 классов, позволяющая сконцентрироваться на достижении соответствующих личностных и предметных результатов, осознанно подойти к решению проблемы выбора индивидуальной образовательной траектории и направления получения профессионального образования. Мероприятия программы построены на основе системной модели содействия самоопределению обучающихся общеобразовательных организаций, основанной на сочетании мотивационно-активизирующего, информационно-обучающего, практико-ориентированного и диагностико-консультативного подходов к формированию готовности к профессиональному самоопределению и вовлечению всех участников образовательного процесса. Цели и задачи изучения курса внеурочной деятельности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Цель</w:t>
      </w:r>
      <w:r>
        <w:rPr>
          <w:rFonts w:hint="default" w:ascii="Times New Roman" w:hAnsi="Times New Roman" w:eastAsia="SimSun" w:cs="Times New Roman"/>
          <w:sz w:val="24"/>
          <w:szCs w:val="24"/>
        </w:rPr>
        <w:t xml:space="preserve">: формирование готовности к профессиональному самоопределению (далее – ГПС) обучающихся 6 классов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 Задачи</w:t>
      </w:r>
      <w:r>
        <w:rPr>
          <w:rFonts w:hint="default" w:ascii="Times New Roman" w:hAnsi="Times New Roman" w:eastAsia="SimSun" w:cs="Times New Roman"/>
          <w:sz w:val="24"/>
          <w:szCs w:val="24"/>
        </w:rPr>
        <w:t>:</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построение системы содействия профессиональному самоопределению обучающихся, основанной на сочетании мотивационно-активизирующего, информационно-обучающего, практико-ориентированного и диагностико-консультационного подходов к формированию ГПС и вовлечению всех участников образовательного процесса;</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выявление исходного уровня сформированности внутренней (мотивационно-личностной) и внешней (знаниевой в виде карьерной грамотности) сторон готовности к 3 профессиональному самоопределению у обучающихся и уровня готовности, который продемонстрирует обучающийся после участия в профориентационной программе;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формирование индивидуальных рекомендаций для обучающихся по построению образовательно-профессиональной траектории в зависимости от уровня осознанности, интересов, способностей, доступных им возможностей;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информирование обучающихся о специфике рынка труда и системе профессионального образования (включая знакомство с перспективными и востребованными в ближайшем будущем профессиями и отраслями экономики РФ) посредством различных мероприятий, в т.ч. профессиональных проб;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формирование у обучающихся навыков и умений карьерной грамотности и других компетенций, необходимых для осуществления всех этапов карьерной самонавигации, приобретения и осмысления профориентационно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адаптации с учетом имеющихся компетенций и возможностей среды;</w:t>
      </w:r>
    </w:p>
    <w:p>
      <w:pPr>
        <w:spacing w:after="0" w:line="270" w:lineRule="atLeast"/>
        <w:jc w:val="both"/>
        <w:rPr>
          <w:rFonts w:hint="default" w:ascii="Times New Roman" w:hAnsi="Times New Roman" w:cs="Times New Roman"/>
          <w:sz w:val="24"/>
          <w:szCs w:val="24"/>
        </w:rPr>
      </w:pPr>
      <w:r>
        <w:rPr>
          <w:rFonts w:hint="default" w:ascii="Times New Roman" w:hAnsi="Times New Roman" w:eastAsia="SimSun" w:cs="Times New Roman"/>
          <w:sz w:val="24"/>
          <w:szCs w:val="24"/>
        </w:rPr>
        <w:t xml:space="preserve"> • 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 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 которое реализуется посредством «воспитания у детей уважения к труду и людям труда, трудовым достижениям; содействия профессиональному самоопределению, приобщения детей к социально значимой деятельности для осмысленного выбора профессии». Подготовка обучающихся к самостоятельному, осознанному выбору профессии является обязательной частью гармоничного развития каждой личности и неотрывно рассматривается в связке с физическим, эмоциональным, интеллектуальным, трудовым, эстетическим воспитанием школьника, т.е. интегрирована в учебно-воспитательный процесс, а, следовательно, профориентационная работа в школах является одним из важнейших компонентов в развитии как отдельно взятого человека, так и общества в целом</w:t>
      </w:r>
    </w:p>
    <w:p>
      <w:pPr>
        <w:spacing w:after="0" w:line="270" w:lineRule="atLeast"/>
        <w:jc w:val="both"/>
        <w:rPr>
          <w:rFonts w:hint="default" w:ascii="Times New Roman" w:hAnsi="Times New Roman" w:cs="Times New Roman"/>
          <w:sz w:val="24"/>
          <w:szCs w:val="24"/>
        </w:rPr>
      </w:pPr>
    </w:p>
    <w:p>
      <w:pPr>
        <w:spacing w:after="0" w:line="270" w:lineRule="atLeast"/>
        <w:jc w:val="both"/>
        <w:rPr>
          <w:rFonts w:hint="default" w:ascii="Times New Roman" w:hAnsi="Times New Roman" w:cs="Times New Roman"/>
          <w:sz w:val="24"/>
          <w:szCs w:val="24"/>
        </w:rPr>
      </w:pPr>
    </w:p>
    <w:p>
      <w:pPr>
        <w:spacing w:after="0" w:line="270" w:lineRule="atLeast"/>
        <w:jc w:val="both"/>
        <w:rPr>
          <w:rFonts w:hint="default" w:ascii="Times New Roman" w:hAnsi="Times New Roman" w:eastAsia="SimSun" w:cs="Times New Roman"/>
          <w:b/>
          <w:sz w:val="24"/>
          <w:szCs w:val="24"/>
          <w:lang w:val="ru-RU"/>
        </w:rPr>
      </w:pPr>
      <w:r>
        <w:rPr>
          <w:rFonts w:hint="default" w:ascii="Times New Roman" w:hAnsi="Times New Roman" w:cs="Times New Roman" w:eastAsiaTheme="minorHAnsi"/>
          <w:b/>
          <w:sz w:val="24"/>
          <w:szCs w:val="24"/>
          <w:lang w:eastAsia="en-US"/>
        </w:rPr>
        <w:t xml:space="preserve">                         2.Содержание </w:t>
      </w:r>
      <w:r>
        <w:rPr>
          <w:rFonts w:hint="default" w:ascii="Times New Roman" w:hAnsi="Times New Roman" w:cs="Times New Roman" w:eastAsiaTheme="minorHAnsi"/>
          <w:b/>
          <w:sz w:val="24"/>
          <w:szCs w:val="24"/>
          <w:lang w:val="ru-RU" w:eastAsia="en-US"/>
        </w:rPr>
        <w:t>обучения</w:t>
      </w:r>
    </w:p>
    <w:p>
      <w:pPr>
        <w:spacing w:after="0" w:line="270" w:lineRule="atLeast"/>
        <w:jc w:val="both"/>
        <w:rPr>
          <w:rFonts w:hint="default" w:ascii="Times New Roman" w:hAnsi="Times New Roman" w:eastAsia="SimSun" w:cs="Times New Roman"/>
          <w:b/>
          <w:sz w:val="24"/>
          <w:szCs w:val="24"/>
        </w:rPr>
      </w:pPr>
    </w:p>
    <w:p>
      <w:pPr>
        <w:numPr>
          <w:ilvl w:val="0"/>
          <w:numId w:val="2"/>
        </w:numPr>
        <w:spacing w:after="0" w:line="270" w:lineRule="atLeast"/>
        <w:ind w:left="6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Профориентационные уроки «Увлекаюсь» Проведение профориентационных уроков – стартового и тематического . Стартовый профориентационный урок (открывает программу курса): раскрывает возможности обучающихся в выборе персонального профессионального пути. Выбор профессионального пути – одно из важнейших решений, которое предстоит принять школьникам. Рынок труда в условиях неопределенности всегда пугает и вызывает много вопросов: куда пойти учиться, чтобы завтра не остаться без работы? Найдётся ли для меня место на этом рынке труда? Чему нужно учиться уже сегодня, чтобы завтра быть востребованным? Тематические профориентационные уроки по классам (рекомендуется проводить после стартового урока): 6 класс: тематическое содержание урока построено на трех базовых компонентах, которые необходимо учитывать при выборе: </w:t>
      </w:r>
    </w:p>
    <w:p>
      <w:pPr>
        <w:numPr>
          <w:numId w:val="0"/>
        </w:numPr>
        <w:spacing w:after="0" w:line="270" w:lineRule="atLeast"/>
        <w:ind w:left="60"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«ХОЧУ» — ваши интересы;</w:t>
      </w:r>
    </w:p>
    <w:p>
      <w:pPr>
        <w:numPr>
          <w:numId w:val="0"/>
        </w:numPr>
        <w:spacing w:after="0" w:line="270" w:lineRule="atLeast"/>
        <w:ind w:left="60"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«МОГУ» — ваши способности; </w:t>
      </w:r>
    </w:p>
    <w:p>
      <w:pPr>
        <w:numPr>
          <w:numId w:val="0"/>
        </w:numPr>
        <w:spacing w:after="0" w:line="270" w:lineRule="atLeast"/>
        <w:ind w:left="60" w:leftChars="0"/>
        <w:jc w:val="both"/>
        <w:rPr>
          <w:rFonts w:hint="default" w:ascii="Times New Roman" w:hAnsi="Times New Roman" w:cs="Times New Roman"/>
          <w:b/>
          <w:sz w:val="24"/>
          <w:szCs w:val="24"/>
        </w:rPr>
      </w:pPr>
      <w:r>
        <w:rPr>
          <w:rFonts w:hint="default" w:ascii="Times New Roman" w:hAnsi="Times New Roman" w:eastAsia="SimSun" w:cs="Times New Roman"/>
          <w:sz w:val="24"/>
          <w:szCs w:val="24"/>
        </w:rPr>
        <w:t xml:space="preserve">● «БУДУ» — востребованность обучающегося на рынке труда в будущее 2 . Информирование обучающихся о профессиях с постепенным расширением представлений о мире профессионального труда в общем: формирование системного представления о мире профессий и значимости трудовой деятельности (например, как различные качества или навыки могут по-разному реализовываться в разных профессиональных направлениях).Помощь в выборе увлечения, в котором обучающийся может реализовать свои интересы, развивать возможности и помогать окружающим.Поиск дополнительных занятий и увлечений. 2. Профориентационная онлайн-диагностика. Первая часть «Понимаю себя» Профориентационная диагностика обучающихся на интернет-платформеhttps://bvbinfo.ru/ (для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Онлайн-диагностика I «Мой выбор профессии» состоит из двух частей: </w:t>
      </w:r>
    </w:p>
    <w:p>
      <w:pPr>
        <w:numPr>
          <w:numId w:val="0"/>
        </w:numPr>
        <w:spacing w:after="0" w:line="270" w:lineRule="atLeast"/>
        <w:ind w:left="60" w:leftChars="0"/>
        <w:jc w:val="both"/>
        <w:rPr>
          <w:rFonts w:hint="default" w:ascii="Times New Roman" w:hAnsi="Times New Roman" w:cs="Times New Roman"/>
          <w:b/>
          <w:sz w:val="24"/>
          <w:szCs w:val="24"/>
        </w:rPr>
      </w:pPr>
    </w:p>
    <w:p>
      <w:pPr>
        <w:numPr>
          <w:numId w:val="0"/>
        </w:numPr>
        <w:spacing w:after="0" w:line="270" w:lineRule="atLeast"/>
        <w:ind w:left="60"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методика онлайн-диагностики обучающихся «Моя готовность»: версия 6-7 классов включает только диагностику готовности к профессиональному самоопределению и не включает диагностику ценностных ориентиров; </w:t>
      </w:r>
    </w:p>
    <w:p>
      <w:pPr>
        <w:numPr>
          <w:numId w:val="0"/>
        </w:numPr>
        <w:spacing w:after="0" w:line="270" w:lineRule="atLeast"/>
        <w:ind w:left="60"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методика онлайн-диагностики на определение профессиональных склонностей и направленности обучающихся («Мой выбор»). Методика предусматривает 2 версии – для 6-7, 8-9 классов. Онлайн-диагностика II «Мои таланты»включает комплексную методику онлайн</w:t>
      </w:r>
      <w:r>
        <w:rPr>
          <w:rFonts w:hint="default" w:ascii="Times New Roman" w:hAnsi="Times New Roman" w:eastAsia="SimSun" w:cs="Times New Roman"/>
          <w:sz w:val="24"/>
          <w:szCs w:val="24"/>
        </w:rPr>
        <w:t/>
      </w:r>
      <w:r>
        <w:rPr>
          <w:rFonts w:hint="default" w:ascii="Times New Roman" w:hAnsi="Times New Roman" w:eastAsia="SimSun" w:cs="Times New Roman"/>
          <w:sz w:val="24"/>
          <w:szCs w:val="24"/>
        </w:rPr>
        <w:t xml:space="preserve">диагностики на определение профессиональных интересов и сильных сторон обучающихся с выделением «зон потенциала» (талантов) для дальнейшего развития. Методика предусматривает версии для 6-7.классов. Консультации по результатам онлайн-диагностики. Сопровождение обучающихся по итогам диагностики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интернет-платформеhttps://bvbinfo.ru/). 3. Профориентационная выставка «Лаборатория будущего. Узнаю рынок» Посещение мультимедийной выставки «Лаборатория будущего»–специально организованная постоянно действующая экспозиция на базе исторических парков «Россия – моя история» (очно, в онлайн-формате доступно на интернет-платформеhttps://bvbinfo.ru/). Знакомство с рынком труда, 9-ю ключевыми отраслями (направлениями) экономического развития, профессиями: Индустриальная среда; Здоровая среда; Умная среда; Деловая среда; Социальная среда; Безопасная среда; Комфортная среда; Креативная среда; Аграрная среда. Решение интерактивных заданий, направленных на получение новых знаний о профессиях, об 10 особенностях профессиональной деятельности различных специалистов, о качествах и навыках, необходимых для работы различных специалистов. 4. Профессиональные пробы «Пробую. Получаю опыт» Профессиональные пробы.Данный формат реализуется очно (на базе образовательной организации и/ или в учебных профессиональных заведениях, организациях дополнительного образования, на предприятиях, организациях региона) или в онлайн-формате (профессиональные пробы на основе платформы, вебинар-площадки, сервисы видеоконференций, чат и т.п.). Уровни профессиональных проб: моделирующие и практические профессиональные пробы. Виды профессиональных проб: базовая и ознакомительная. 5. Профориентационная онлайн-диагностика. Вторая часть «Осознаю» Проведение второй части профориентационной диагностики. Направлена на уточнение рекомендации по построению образовательно-профессиональной траектории с учетом рефлексии опыта, полученного на предыдущих этапах. Онлайн-диагностика I «Мой выбор профессии» состоит из двух частей: </w:t>
      </w:r>
    </w:p>
    <w:p>
      <w:pPr>
        <w:numPr>
          <w:numId w:val="0"/>
        </w:numPr>
        <w:spacing w:after="0" w:line="270" w:lineRule="atLeast"/>
        <w:ind w:left="60"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методика онлайн-диагностики учащихся «Моя готовность»: версия 6-7 классов включает только диагностику готовности к профессиональному самоопределению и не включает диагностику ценностных ориентиров; </w:t>
      </w:r>
    </w:p>
    <w:p>
      <w:pPr>
        <w:numPr>
          <w:numId w:val="0"/>
        </w:numPr>
        <w:spacing w:after="0" w:line="270" w:lineRule="atLeast"/>
        <w:ind w:left="60" w:leftChars="0"/>
        <w:jc w:val="both"/>
        <w:rPr>
          <w:rFonts w:hint="default" w:ascii="Times New Roman" w:hAnsi="Times New Roman" w:cs="Times New Roman"/>
          <w:b/>
          <w:sz w:val="24"/>
          <w:szCs w:val="24"/>
        </w:rPr>
      </w:pPr>
      <w:r>
        <w:rPr>
          <w:rFonts w:hint="default" w:ascii="Times New Roman" w:hAnsi="Times New Roman" w:eastAsia="SimSun" w:cs="Times New Roman"/>
          <w:sz w:val="24"/>
          <w:szCs w:val="24"/>
        </w:rPr>
        <w:t>● методика онлайн-диагностики на определение профессиональных склонностей и направленности обучающихся («Мой выбор»). Методика предусматривает 2 версии – для 6-7, 8-9 классов. Онлайн-диагностика II «Мои таланты» включает комплексную методику онлайн</w:t>
      </w:r>
      <w:r>
        <w:rPr>
          <w:rFonts w:hint="default" w:ascii="Times New Roman" w:hAnsi="Times New Roman" w:eastAsia="SimSun" w:cs="Times New Roman"/>
          <w:sz w:val="24"/>
          <w:szCs w:val="24"/>
        </w:rPr>
        <w:t/>
      </w:r>
      <w:r>
        <w:rPr>
          <w:rFonts w:hint="default" w:ascii="Times New Roman" w:hAnsi="Times New Roman" w:eastAsia="SimSun" w:cs="Times New Roman"/>
          <w:sz w:val="24"/>
          <w:szCs w:val="24"/>
        </w:rPr>
        <w:t>диагностики на определение профессиональных интересов и сильных сторон обучающихся с выделением «зон потенциала» (талантов) для дальнейшего развития. Методика предусматривает версии для 6-7классов. Развернутая консультации по результатам повторной онлайн-диагностики. Сопровождение обучающихся по итогам диагностики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интернет-платформеhttps://bvbinfo.ru/). 6. Профориентационный видеопроект «Один день в профессии» (https://bvbinfo.ru/) Онлайн-знакомство в формате видео-обзоров и интервью с носителями профессий, которые поделятся актуальной информацией об отраслях и покажут, как можно добиться успеха. В рамках урока ученикам будут предложены задания и упражнения, позволяющие лучше понять интересующие их сферы. 7. Профориентационный рефлексивный урок «Планирую» Профориентационный рефлексивный урок (проводится в конце курса, по итогам проведения всех профориентационных мероприятий):разбор и обсуждение персональных рекомендаций (по возрастам).Разбор и обсуждение полученного опыта по итогам профессиональных проб и мероприятий.Постановка образовательных и карьерных целей (стратегических и тактических).Формирование планов образовательных шагов и формулирование траектории развития (последовательность реализации целей)</w:t>
      </w:r>
    </w:p>
    <w:p>
      <w:pPr>
        <w:spacing w:after="0" w:line="270" w:lineRule="atLeast"/>
        <w:jc w:val="both"/>
        <w:rPr>
          <w:rFonts w:hint="default" w:ascii="Times New Roman" w:hAnsi="Times New Roman" w:cs="Times New Roman"/>
          <w:b/>
          <w:sz w:val="24"/>
          <w:szCs w:val="24"/>
        </w:rPr>
      </w:pPr>
    </w:p>
    <w:p>
      <w:pPr>
        <w:spacing w:after="0" w:line="240" w:lineRule="auto"/>
        <w:ind w:left="360"/>
        <w:contextualSpacing/>
        <w:rPr>
          <w:rFonts w:hint="default" w:ascii="Times New Roman" w:hAnsi="Times New Roman" w:cs="Times New Roman" w:eastAsiaTheme="minorHAnsi"/>
          <w:b/>
          <w:sz w:val="24"/>
          <w:szCs w:val="24"/>
          <w:lang w:eastAsia="en-US"/>
        </w:rPr>
      </w:pPr>
      <w:r>
        <w:rPr>
          <w:rFonts w:hint="default" w:ascii="Times New Roman" w:hAnsi="Times New Roman" w:eastAsia="SimSun" w:cs="Times New Roman"/>
          <w:b/>
          <w:sz w:val="24"/>
          <w:szCs w:val="24"/>
        </w:rPr>
        <w:t xml:space="preserve">                        </w:t>
      </w:r>
      <w:r>
        <w:rPr>
          <w:rFonts w:hint="default" w:ascii="Times New Roman" w:hAnsi="Times New Roman" w:cs="Times New Roman" w:eastAsiaTheme="minorHAnsi"/>
          <w:b/>
          <w:sz w:val="24"/>
          <w:szCs w:val="24"/>
          <w:lang w:eastAsia="en-US"/>
        </w:rPr>
        <w:t>3.Планируемые результаты освоения программы.</w:t>
      </w:r>
    </w:p>
    <w:p>
      <w:pPr>
        <w:spacing w:after="0" w:line="270" w:lineRule="atLeast"/>
        <w:jc w:val="both"/>
        <w:rPr>
          <w:rFonts w:hint="default" w:ascii="Times New Roman" w:hAnsi="Times New Roman" w:eastAsia="SimSun" w:cs="Times New Roman"/>
          <w:b/>
          <w:sz w:val="24"/>
          <w:szCs w:val="24"/>
        </w:rPr>
      </w:pP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Личностные результаты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В сфере гражданского воспитания:</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готовность к выполнению обязанностей гражданина и реализации его прав, уважение прав, свобод и законных интересов других людей, с которыми школьникам предстоит взаимодействовать;</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готовность к разнообразной совместной деятельности;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выстраивание доброжелательных отношений с участниками реализации программы на основе взаимопонимания и взаимопомощи.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В сфере патриотического воспитания: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осознание российской гражданской идентичности в поликультурном и многоконфессиональном обществе, проявление интереса к познанию истории, культуры Российской Федерации, своего края, народов России;</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ценностное отношение к достижениям своей Родины — России, к науке, искусству, спорту, технологиям, боевым подвигам и трудовым достижениям народа, с которыми школьники будут знакомиться в ходе профориентационных экскурсий на предприятиях своего региона. В сфере духовно-нравственного воспитания: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ориентация на моральные ценности и нормы в ситуациях нравственного выбора;</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осознание важности свободы и необходимости брать на себя ответственность в ситуации подготовки к выбору будущей профессии. В сфере эстетического воспитания: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осознание важности художественной культуры как средства коммуникации и самовыражения для представителей многих профессий;</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стремление к самовыражению в разных видах искусства, в том числе прикладного;</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стремление создавать вокруг себя эстетически привлекательную среду вне зависимости от той сферы профессиональной деятельности, которой школьник планирует заниматься в будущем. В сфере физического воспитания, формирования культуры здоровья и эмоционального благополучия: • осознание необходимости соблюдения правил безопасности в любой профессии, в том числе навыков безопасного поведения в интернет-среде;</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ответственное отношение к своему здоровью и установка на здоровый образ жизни;</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способность адаптироваться к стрессовым ситуациям, вызванным необходимостью профессионального самоопределения, осмысляя собственный опыт и выстраивая дальнейшие цели, связанные с будущей профессиональной жизнью;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умение принимать себя и других, не осуждая; • умение осознавать эмоциональное состояние себя и других, умение управлять собственным эмоциональным состоянием для экономии внутренних ресурсов;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сформированность навыка рефлексии, признание своего права на ошибку и такого же права другого человека. В сфере трудового воспитания: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интерес к практическому изучению профессий и труда различного рода,</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осознание важности обучения на протяжении всей жизни для успешной профессиональной деятельности и развитие необходимых умений для этого; </w:t>
      </w:r>
    </w:p>
    <w:p>
      <w:pPr>
        <w:spacing w:after="0" w:line="270" w:lineRule="atLeast"/>
        <w:jc w:val="both"/>
        <w:rPr>
          <w:rFonts w:hint="default" w:ascii="Times New Roman" w:hAnsi="Times New Roman" w:eastAsia="SimSun" w:cs="Times New Roman"/>
          <w:sz w:val="24"/>
          <w:szCs w:val="24"/>
        </w:rPr>
      </w:pPr>
    </w:p>
    <w:p>
      <w:pPr>
        <w:spacing w:after="0" w:line="270" w:lineRule="atLeast"/>
        <w:jc w:val="both"/>
        <w:rPr>
          <w:rFonts w:hint="default" w:ascii="Times New Roman" w:hAnsi="Times New Roman" w:eastAsia="SimSun" w:cs="Times New Roman"/>
          <w:sz w:val="24"/>
          <w:szCs w:val="24"/>
        </w:rPr>
      </w:pP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готовность адаптироваться в профессиональной среде;</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уважение к труду и результатам трудовой деятельности;</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осознанный выбор и построение индивидуальной образовательной траектории и жизненных планов с учётом личных и общественных интересов и потребностей. В сфере экологического воспитания: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повышение уровня экологической культуры, осознание глобального характера экологических проблем и путей их решения, в том числе в процессе ознакомления с профессиями сферы «человек-природа»;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активное неприятие действий, приносящих вред окружающей среде, в том числе осознание потенциального ущерба природе, который сопровождает ту или иную профессиональную деятельность;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осознание своей роли как гражданина и потребителя в условиях взаимосвязи природной, технологической и социальной сред.</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В сфере понимания ценности научного познания: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овладение языковой и читательской культурой как средством познания мира, средством самосовершенствования человека, в том числе в профессиональной сфере;</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овладение основными навыками исследовательской деятельности в 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и коллективного благополучия. В сфере адаптации к изменяющимся условиям социальной и природной среды:</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освоение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профессиональному признаку;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проходить профессиональные пробы в разных сферах деятельности;</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навык выявления и связывания образов, способность осознавать дефициты собственных знаний и компетентностей, планировать своё развитие, в том числе профессиональное;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умение оперировать терминами и представлениями в области концепции устойчивого развития;</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умение анализировать и выявлять взаимосвязи природы, общества и экономики;</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умение оценивать свои действия с учётом влияния на окружающую среду, достижения целей и преодоления вызовов, возможных глобальных последствий;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способность осознавать стрессовую ситуацию, оценивать происходящие изменения и их последствия, формулировать и оценивать риски и последствия, формировать опыт, уметь находить позитивное в произошедшей ситуации.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Метапредметные результаты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В сфере овладения универсальными учебными познавательными действиями:</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выявлять дефицит информации о той или иной профессии, необходимой для полноты представлений о ней, и находить способы для решения возникшей проблемы;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использовать вопросы как инструмент для познания будущей профессии;</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аргументировать свою позицию, мнение;</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оценивать на применимость и достоверность информацию, полученную в ходе работы с интернет-источниками;</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самостоятельно формулировать обобщения и выводы по результатам проведённого обсуждения в группе или в паре; • прогнозировать возможное дальнейшее развитие процессов, событий и их последствия, связанные с выбором будущей профессии;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выдвигать предположения о возможном росте и падении спроса на ту или иную специальность в новых условиях;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применять различные методы, инструменты и запросы при поиске и отборе информации, связанной с профессиональной деятельностью или дальнейшим обучением;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выбирать, анализировать, систематизировать и интерпретировать информацию различных видов и форм представления;</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находить сходные аргументы (подтверждающие или опровергающие одну и ту же идею, версию) в различных информационных источниках;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В сфере овладения универсальными учебными коммуникативными действиями:</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воспринимать и формулировать суждения в соответствии с целями и условиями общения в рамках занятий, включённых в программу проекта «Билет в будущее»;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выражать свою точку зрения; распознавать невербальные средства общения, понимать значение социальных знаков, знать и распознавать предпосылки конфликтных ситуаций и стараться смягчать конфликты;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понимать намерения других участников, проявлять уважительное отношение к ним и к взрослым, участвующим в занятиях, в корректной форме формулировать свои возражения;</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друг с другом;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сопоставлять свои суждения с суждениями других участников диалога, обнаруживать различие и сходство позиций;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публично представлять результаты работы, проделанной в рамках выполнения заданий, связанных с тематикой курса по профориентации;</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понимать и использовать преимущества командной и индивидуальной работы при решении конкретной проблемы, принимать цель совместной деятельности, коллективно планировать действия по её достижению: распределять роли, договариваться, обсуждать процесс и результат совместной работы;</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участвовать в групповых формах работы (обсуждения, обмен мнениями, мозговые штурмы и др.);</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выполнять свою часть работы, достигать качественного результата по своему направлению и координировать свои действия с действиями других участников.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В сфере овладения универсальными учебными регулятивными действиями:</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выявлять проблемы, возникающие в ходе выбора будущей профессии;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ориентироваться в различных подходах принятия решений (индивидуальное, принятие решения в группе, принятие решений группой); • делать выбор и брать на себя ответственность за решения, принимаемые в процессе профессионального самоопределения;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владеть способами самоконтроля, самомотивации и рефлексии;</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предвидеть трудности, которые могут возникнуть при выборе будущей профессии;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объяснять причины достижения (недостижения) результатов деятельности, давать оценку опыту, приобретённому в ходе прохождения программы курса, уметь находить позитивное в любой ситуации;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уметь вносить коррективы в свою деятельность на основе новых обстоятельств, изменившихся ситуаций, установленных ошибок, возникших трудностей;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различать, называть и управлять собственными эмоциями;</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уметь ставить себя на место другого человека, понимать мотивы и намерения участников курса, осознанно относиться к ним.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Предметные результаты Предметные результаты освоения основной образовательной программы основного общего образования представлены с учётом специфики содержания предметных областей, затрагиваемых в ходе профориентационной деятельности школьников.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Русский язык: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формирование умений речевого взаимодействия (в том числе, общения при помощи современных средств устной и письменной речи): создание устных монологических высказываний на основе жизненных наблюдений и личных впечатлений, чтения учебно</w:t>
      </w:r>
      <w:r>
        <w:rPr>
          <w:rFonts w:hint="default" w:ascii="Times New Roman" w:hAnsi="Times New Roman" w:eastAsia="SimSun" w:cs="Times New Roman"/>
          <w:sz w:val="24"/>
          <w:szCs w:val="24"/>
        </w:rPr>
        <w:t/>
      </w:r>
      <w:r>
        <w:rPr>
          <w:rFonts w:hint="default" w:ascii="Times New Roman" w:hAnsi="Times New Roman" w:eastAsia="SimSun" w:cs="Times New Roman"/>
          <w:sz w:val="24"/>
          <w:szCs w:val="24"/>
        </w:rPr>
        <w:t>научной, художественной и научно-популярной литературы: монолог-описание, монолог</w:t>
      </w:r>
      <w:r>
        <w:rPr>
          <w:rFonts w:hint="default" w:ascii="Times New Roman" w:hAnsi="Times New Roman" w:eastAsia="SimSun" w:cs="Times New Roman"/>
          <w:sz w:val="24"/>
          <w:szCs w:val="24"/>
        </w:rPr>
        <w:t/>
      </w:r>
      <w:r>
        <w:rPr>
          <w:rFonts w:hint="default" w:ascii="Times New Roman" w:hAnsi="Times New Roman" w:eastAsia="SimSun" w:cs="Times New Roman"/>
          <w:sz w:val="24"/>
          <w:szCs w:val="24"/>
        </w:rPr>
        <w:t xml:space="preserve">рассуждение, монолог-повествование;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участие в диалоге разных видов: побуждение к действию, обмен мнениями, запрос информации, сообщение информации;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обсуждение и чёткая формулировка цели, плана совместной групповой деятельности;</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извлечение информации из различных источников, её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создание письменных текстов различных стилей с соблюдением норм построения текста: соответствие текста теме и основной мысли, цельность и относительная законченность;</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последовательность изложения (развёртывание содержания в зависимости от цели текста, типа речи);</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правильность выделения абзацев в тексте, наличие грамматической связи предложений в тексте, логичность.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Литература: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овладение умением использовать словари и справочники, в том числе информационно</w:t>
      </w:r>
      <w:r>
        <w:rPr>
          <w:rFonts w:hint="default" w:ascii="Times New Roman" w:hAnsi="Times New Roman" w:eastAsia="SimSun" w:cs="Times New Roman"/>
          <w:sz w:val="24"/>
          <w:szCs w:val="24"/>
        </w:rPr>
        <w:t/>
      </w:r>
      <w:r>
        <w:rPr>
          <w:rFonts w:hint="default" w:ascii="Times New Roman" w:hAnsi="Times New Roman" w:eastAsia="SimSun" w:cs="Times New Roman"/>
          <w:sz w:val="24"/>
          <w:szCs w:val="24"/>
        </w:rPr>
        <w:t xml:space="preserve">справочные системы в электронной форме, подбирать проверенные источники в библиотечных фондах, Интернете для выполнения учебной задачи;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применять ИКТ, соблюдать правила информационной безопасности. Иностранный язык: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овладение основными видами речевой деятельности в рамках знакомства со спецификой современных профессий;</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приобретение опыта практической деятельности в жизни: соблюдать правила информационной безопасности в ситуациях повседневной жизни и при работе в Интернете;</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использовать иноязычные словари и справочники, в том числе информационно-справочные системы в электронной форме.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Информатика: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овладение основными понятиями: информация, передача, хранение, обработка информации, алгоритм, модель, цифровой продукт - и их использованием для решения учебных и практических задач;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умение оперировать единицами измерения информационного объёма и скорости передачи данных;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сформированность мотивации к продолжению изучения информатики как профильного предмета. География: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умение устанавливать взаимосвязи между изученными природными, социальными и экономическими явлениями и процессами;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умение использовать географические знания для описания существенных признаков разнообразных явлений и процессов в повседневной жизни;</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сформированность мотивации к продолжению изучения географии как профильного предмета на уровне среднего общего образования</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Обществознание: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сфере (в области макро- и микроэкономики);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Интернете;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Биология: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её достоверности;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умение интегрировать биологические знания со знаниями других учебных предметов;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Изобразительное искусство: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сформированность системы знаний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Основы безопасности жизнедеятельности: </w:t>
      </w:r>
    </w:p>
    <w:p>
      <w:pPr>
        <w:spacing w:after="0" w:line="270" w:lineRule="atLeast"/>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w:t>
      </w:r>
    </w:p>
    <w:p>
      <w:pPr>
        <w:spacing w:after="0" w:line="270" w:lineRule="atLeast"/>
        <w:jc w:val="both"/>
        <w:rPr>
          <w:rFonts w:hint="default" w:ascii="Times New Roman" w:hAnsi="Times New Roman" w:eastAsia="SimSun" w:cs="Times New Roman"/>
          <w:b/>
          <w:sz w:val="24"/>
          <w:szCs w:val="24"/>
        </w:rPr>
      </w:pPr>
      <w:r>
        <w:rPr>
          <w:rFonts w:hint="default" w:ascii="Times New Roman" w:hAnsi="Times New Roman" w:eastAsia="SimSun" w:cs="Times New Roman"/>
          <w:sz w:val="24"/>
          <w:szCs w:val="24"/>
        </w:rPr>
        <w:t>•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after="0" w:line="240" w:lineRule="auto"/>
        <w:ind w:left="360"/>
        <w:contextualSpacing/>
        <w:rPr>
          <w:rFonts w:hint="default" w:ascii="Times New Roman" w:hAnsi="Times New Roman"/>
          <w:b/>
          <w:sz w:val="28"/>
          <w:szCs w:val="28"/>
          <w:lang w:val="ru-RU"/>
        </w:rPr>
      </w:pPr>
      <w:r>
        <w:rPr>
          <w:rFonts w:ascii="Times New Roman" w:hAnsi="Times New Roman" w:cs="Times New Roman" w:eastAsiaTheme="minorHAnsi"/>
          <w:b/>
          <w:sz w:val="28"/>
          <w:szCs w:val="28"/>
          <w:lang w:eastAsia="en-US"/>
        </w:rPr>
        <w:t>4.Приложени</w:t>
      </w:r>
      <w:r>
        <w:rPr>
          <w:rFonts w:ascii="Times New Roman" w:hAnsi="Times New Roman" w:cs="Times New Roman" w:eastAsiaTheme="minorHAnsi"/>
          <w:b/>
          <w:sz w:val="28"/>
          <w:szCs w:val="28"/>
          <w:lang w:val="ru-RU" w:eastAsia="en-US"/>
        </w:rPr>
        <w:t>е</w:t>
      </w:r>
    </w:p>
    <w:p>
      <w:pPr>
        <w:spacing w:after="0" w:line="270" w:lineRule="atLeast"/>
        <w:jc w:val="both"/>
        <w:rPr>
          <w:rFonts w:ascii="Times New Roman" w:hAnsi="Times New Roman" w:eastAsia="SimSun" w:cs="Times New Roman"/>
          <w:b/>
          <w:sz w:val="28"/>
          <w:szCs w:val="28"/>
          <w:lang w:val="ru-RU"/>
        </w:rPr>
      </w:pPr>
    </w:p>
    <w:p>
      <w:pPr>
        <w:spacing w:after="0" w:line="270" w:lineRule="atLeast"/>
        <w:jc w:val="both"/>
        <w:rPr>
          <w:rFonts w:ascii="Times New Roman" w:hAnsi="Times New Roman" w:eastAsia="SimSun" w:cs="Times New Roman"/>
          <w:b/>
          <w:sz w:val="28"/>
          <w:szCs w:val="28"/>
          <w:lang w:val="ru-RU"/>
        </w:rPr>
      </w:pPr>
    </w:p>
    <w:p>
      <w:pPr>
        <w:spacing w:after="0" w:line="270" w:lineRule="atLeast"/>
        <w:jc w:val="both"/>
        <w:rPr>
          <w:rFonts w:ascii="Times New Roman" w:hAnsi="Times New Roman" w:eastAsia="SimSun" w:cs="Times New Roman"/>
          <w:b/>
          <w:sz w:val="28"/>
          <w:szCs w:val="28"/>
        </w:rPr>
      </w:pPr>
      <w:r>
        <w:rPr>
          <w:rFonts w:ascii="Times New Roman" w:hAnsi="Times New Roman" w:eastAsia="SimSun" w:cs="Times New Roman"/>
          <w:b/>
          <w:sz w:val="28"/>
          <w:szCs w:val="28"/>
          <w:lang w:val="ru-RU"/>
        </w:rPr>
        <w:t>Календарно</w:t>
      </w:r>
      <w:r>
        <w:rPr>
          <w:rFonts w:hint="default" w:ascii="Times New Roman" w:hAnsi="Times New Roman" w:eastAsia="SimSun" w:cs="Times New Roman"/>
          <w:b/>
          <w:sz w:val="28"/>
          <w:szCs w:val="28"/>
          <w:lang w:val="ru-RU"/>
        </w:rPr>
        <w:t>-т</w:t>
      </w:r>
      <w:r>
        <w:rPr>
          <w:rFonts w:ascii="Times New Roman" w:hAnsi="Times New Roman" w:eastAsia="SimSun" w:cs="Times New Roman"/>
          <w:b/>
          <w:sz w:val="28"/>
          <w:szCs w:val="28"/>
        </w:rPr>
        <w:t>ематическое планирование</w:t>
      </w:r>
    </w:p>
    <w:p>
      <w:pPr>
        <w:spacing w:after="0" w:line="270" w:lineRule="atLeast"/>
        <w:jc w:val="both"/>
        <w:rPr>
          <w:rFonts w:ascii="Times New Roman" w:hAnsi="Times New Roman" w:eastAsia="SimSun" w:cs="Times New Roman"/>
          <w:sz w:val="24"/>
          <w:szCs w:val="24"/>
        </w:rPr>
      </w:pPr>
    </w:p>
    <w:p>
      <w:pPr>
        <w:spacing w:after="0" w:line="270" w:lineRule="atLeast"/>
        <w:jc w:val="both"/>
        <w:rPr>
          <w:rFonts w:ascii="Times New Roman" w:hAnsi="Times New Roman" w:eastAsia="SimSun" w:cs="Times New Roman"/>
          <w:sz w:val="24"/>
          <w:szCs w:val="24"/>
        </w:rPr>
      </w:pPr>
    </w:p>
    <w:tbl>
      <w:tblPr>
        <w:tblW w:w="98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05" w:type="dxa"/>
          <w:left w:w="105" w:type="dxa"/>
          <w:bottom w:w="105" w:type="dxa"/>
          <w:right w:w="105" w:type="dxa"/>
        </w:tblCellMar>
      </w:tblPr>
      <w:tblGrid>
        <w:gridCol w:w="955"/>
        <w:gridCol w:w="1318"/>
        <w:gridCol w:w="3295"/>
        <w:gridCol w:w="3015"/>
        <w:gridCol w:w="13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87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w:t>
            </w:r>
          </w:p>
        </w:tc>
        <w:tc>
          <w:tcPr>
            <w:tcW w:w="120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Дата</w:t>
            </w:r>
          </w:p>
        </w:tc>
        <w:tc>
          <w:tcPr>
            <w:tcW w:w="300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Классы - участники Профминимума</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(не зарегистрированные в проекте «Билет в будущее»)</w:t>
            </w:r>
          </w:p>
        </w:tc>
        <w:tc>
          <w:tcPr>
            <w:tcW w:w="2535"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Классы - участники Профминимума</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(зарегистрированные в проекте «Билет в будущее»)</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Кол-во</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часов</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87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120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7 сентября</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2023 г.</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5745" w:type="dxa"/>
            <w:gridSpan w:val="2"/>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Тема 1. Вводный урок «Моя Россия — мои горизонты»</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(обзор отраслей экономического развития РФ — счастье в труде)</w:t>
            </w: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87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120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14 сентября</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2023 г.</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5745" w:type="dxa"/>
            <w:gridSpan w:val="2"/>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Тема 2. Тематический профориентационный урок «Открой своё будущее»</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(введение в профориентацию)</w:t>
            </w: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87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3</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120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21 сентября</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2023 г.</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300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Тема 3. Профориентационная диагностика № 1</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«Мой профиль» и разбор результатов</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2535"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Тема 3. Профориентационная диагностика № 1</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«Мои профсреды» и разбор результатов</w:t>
            </w: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87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4</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120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28 сентября</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2023 г.</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5745" w:type="dxa"/>
            <w:gridSpan w:val="2"/>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Тема 4. Профориентационное занятие «Система образования России»</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(дополнительное образование, уровни профессионального образования, стратегии поступления)</w:t>
            </w: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87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5</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120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5 октября</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2023 г.</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5745" w:type="dxa"/>
            <w:gridSpan w:val="2"/>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Тема 5. Профориентационное занятие «Пробую профессию в сфере науки и образования»</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(моделирующая онлайн-проба на платформе проекта «Билет в будущее» по профессии учителя, приуроченная</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к Году педагога и наставника)</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87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6</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120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12 октября</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2023 г.</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300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Тема 6. Профориентационное занятие «Россия в деле»</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(часть 1)</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(на выбор: импортозамещение, авиастроение,</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судовождение, судостроение, лесная</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промышленность)</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2535"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Тема 6. Профориентационная диагностика № 2 «Мои</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ориентиры» и разбор результатов</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87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7</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120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19 октября</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2023 г.</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5745" w:type="dxa"/>
            <w:gridSpan w:val="2"/>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Тема 7. Профориентационное занятие «Россия промышленная: узнаю достижения страны в сфере</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промышленности и производства»</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(тяжелая промышленность, добыча и переработка сырья)</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87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8</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120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26 октября</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2023 г.</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5745" w:type="dxa"/>
            <w:gridSpan w:val="2"/>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Тема 8. Профориентационное занятие «Пробую профессию в сфере промышленности»</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(моделирующая онлайн-проба на платформе проекта «Билет в будущее» по профессиям на выбор: металлург,</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специалист по аддитивным технологиям и др.)</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87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9</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120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 ноября</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2023 г</w:t>
            </w:r>
          </w:p>
        </w:tc>
        <w:tc>
          <w:tcPr>
            <w:tcW w:w="5745" w:type="dxa"/>
            <w:gridSpan w:val="2"/>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Тема 9. Профориентационное занятие «Россия цифровая: узнаю достижения страны в области цифровых</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технологий»</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(информационные технологии, искусственный интеллект, робототехника)</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87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10</w:t>
            </w:r>
          </w:p>
        </w:tc>
        <w:tc>
          <w:tcPr>
            <w:tcW w:w="120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9 ноября</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2023 г.</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5745" w:type="dxa"/>
            <w:gridSpan w:val="2"/>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Тема 10. Профориентационное занятие «Пробую профессию в области цифровых технологий»</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(моделирующая онлайн-проба на платформе проекта «Билет в будущее» по профессиям на выбор:</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программист, робототехник и др.)</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87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11</w:t>
            </w:r>
          </w:p>
        </w:tc>
        <w:tc>
          <w:tcPr>
            <w:tcW w:w="120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16 ноября</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2023 г</w:t>
            </w:r>
          </w:p>
        </w:tc>
        <w:tc>
          <w:tcPr>
            <w:tcW w:w="300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Тема 11. Профориентационное занятие «Россия в</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деле» (часть 2)</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(на выбор: медицина, реабилитация, генетика)</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2535"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Тема 11. Профориентационная диагностика № 3 «Мои</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таланты» и разбор результатов</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87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12</w:t>
            </w:r>
          </w:p>
        </w:tc>
        <w:tc>
          <w:tcPr>
            <w:tcW w:w="120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23 ноября</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2023 г.</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5745" w:type="dxa"/>
            <w:gridSpan w:val="2"/>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Тема 12. Профориентационное занятие «Россия инженерная: узнаю достижения страны в области</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инженерного дела»</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(машиностроение, транспорт, строительство)</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87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13</w:t>
            </w:r>
          </w:p>
        </w:tc>
        <w:tc>
          <w:tcPr>
            <w:tcW w:w="120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30 ноября</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2023 г.</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5745" w:type="dxa"/>
            <w:gridSpan w:val="2"/>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Тема 13. Профориентационное занятие «Пробую профессию в инженерной сфере»</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(моделирующая онлайн-проба на платформе проекта «Билет в будущее» по профессиям на выбор: инженерконструктор, электромонтер и др.)</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87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14</w:t>
            </w:r>
          </w:p>
        </w:tc>
        <w:tc>
          <w:tcPr>
            <w:tcW w:w="120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7 декабря</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2023 г.</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5745" w:type="dxa"/>
            <w:gridSpan w:val="2"/>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Тема 14. Профориентационное занятие «Государственное управление и общественная безопасность»</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(федеральная государственная, военная и правоохранительная службы, особенности работы и профессии в</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этих службах)</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87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15</w:t>
            </w:r>
          </w:p>
        </w:tc>
        <w:tc>
          <w:tcPr>
            <w:tcW w:w="120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14 декабря</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2023 г.</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5745" w:type="dxa"/>
            <w:gridSpan w:val="2"/>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Тема 15. Профориентационное занятие «Пробую профессию в сфере управления и безопасности»</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(моделирующая онлайн-проба на платформе проекта «Билет в будущее» по профессиям на выбор: специалист</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по кибербезопасности, юрист и др.)</w:t>
            </w: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87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16</w:t>
            </w:r>
          </w:p>
        </w:tc>
        <w:tc>
          <w:tcPr>
            <w:tcW w:w="120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21 декабря</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2023 г.</w:t>
            </w:r>
          </w:p>
        </w:tc>
        <w:tc>
          <w:tcPr>
            <w:tcW w:w="5745" w:type="dxa"/>
            <w:gridSpan w:val="2"/>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Тема 16. Профориентационное занятие-рефлексия «Моё будущее — моя страна»</w:t>
            </w: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87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17</w:t>
            </w:r>
          </w:p>
        </w:tc>
        <w:tc>
          <w:tcPr>
            <w:tcW w:w="120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11 января</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2024 г.</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5745" w:type="dxa"/>
            <w:gridSpan w:val="2"/>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Тема 17. Профориентационное занятие «Россия плодородная: узнаю о достижениях агропромышленного комплекса страны»</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(агропромышленный комплекс)</w:t>
            </w: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87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18</w:t>
            </w:r>
          </w:p>
        </w:tc>
        <w:tc>
          <w:tcPr>
            <w:tcW w:w="120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18 января</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2024 г.</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5745" w:type="dxa"/>
            <w:gridSpan w:val="2"/>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Тема 18. Профориентационное занятие «Пробую профессию в аграрной сфере»</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(моделирующая онлайн-проба на платформе проекта «Билет в будущее» по профессиям на выбор: агроном,</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зоотехник и др.)</w:t>
            </w: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87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19</w:t>
            </w:r>
          </w:p>
        </w:tc>
        <w:tc>
          <w:tcPr>
            <w:tcW w:w="120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25 января</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2024 г.</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5745" w:type="dxa"/>
            <w:gridSpan w:val="2"/>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Тема 19. Профориентационное занятие «Россия здоровая: узнаю достижения страны в области медицины и</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здравоохранения»</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(сфера здравоохранения, фармацевтика и биотехнологии)</w:t>
            </w: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87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20</w:t>
            </w:r>
          </w:p>
        </w:tc>
        <w:tc>
          <w:tcPr>
            <w:tcW w:w="120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 февраля</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2024 г.</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5745" w:type="dxa"/>
            <w:gridSpan w:val="2"/>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Тема 20. Профориентационное занятие «Пробую профессию в области медицины»</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(моделирующая онлайн-проба на платформе проекта «Билет в будущее» по профессиям на выбор: врач</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телемедицины, биотехнолог и др.)</w:t>
            </w: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87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21</w:t>
            </w:r>
          </w:p>
        </w:tc>
        <w:tc>
          <w:tcPr>
            <w:tcW w:w="120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8 февраля</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2024 г.</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5745" w:type="dxa"/>
            <w:gridSpan w:val="2"/>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Тема 21. Профориентационное занятие «Россия добрая: узнаю о профессиях на благо общества»</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(сфера социального развития, туризма и гостеприимства)</w:t>
            </w: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87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22</w:t>
            </w:r>
          </w:p>
        </w:tc>
        <w:tc>
          <w:tcPr>
            <w:tcW w:w="120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15 февраля</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2024 г.</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5745" w:type="dxa"/>
            <w:gridSpan w:val="2"/>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Тема 22. Профориентационное занятие «Пробую профессию на благо общества»</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(моделирующая онлайн-проба на платформе проекта «Билет в будущее» по профессиям на выбор: менеджер</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по туризму, организатор благотворительных мероприятий и др.)</w:t>
            </w: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87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23</w:t>
            </w:r>
          </w:p>
        </w:tc>
        <w:tc>
          <w:tcPr>
            <w:tcW w:w="120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22 февраля</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2024 г.</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5745" w:type="dxa"/>
            <w:gridSpan w:val="2"/>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Тема 23. Профориентационное занятие «Россия креативная: узнаю творческие профессии»</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(сфера культуры и искусства)</w:t>
            </w: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87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24</w:t>
            </w:r>
          </w:p>
        </w:tc>
        <w:tc>
          <w:tcPr>
            <w:tcW w:w="120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29 февраля</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2024 г.</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5745" w:type="dxa"/>
            <w:gridSpan w:val="2"/>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Тема 24. Профориентационное занятие «Пробую творческую профессию»</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(моделирующая онлайн-проба на платформе проекта «Билет в будущее» по профессиям на выбор: дизайнер,</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продюсер и др.)</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87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25</w:t>
            </w:r>
          </w:p>
        </w:tc>
        <w:tc>
          <w:tcPr>
            <w:tcW w:w="120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7 марта</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2024 г.</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5745" w:type="dxa"/>
            <w:gridSpan w:val="2"/>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Тема 25. Профориентационное занятие «Один день в профессии» (часть 1)</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(учитель, актер, эколог)</w:t>
            </w: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87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26</w:t>
            </w:r>
          </w:p>
        </w:tc>
        <w:tc>
          <w:tcPr>
            <w:tcW w:w="120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14 марта</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2024 г.</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5745" w:type="dxa"/>
            <w:gridSpan w:val="2"/>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Тема 26. Профориентационное занятие «Один день в профессии» (часть 2)</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(пожарный, ветеринар, повар)</w:t>
            </w: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87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27</w:t>
            </w:r>
          </w:p>
        </w:tc>
        <w:tc>
          <w:tcPr>
            <w:tcW w:w="120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21 марта</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2024 г.</w:t>
            </w:r>
          </w:p>
        </w:tc>
        <w:tc>
          <w:tcPr>
            <w:tcW w:w="5745" w:type="dxa"/>
            <w:gridSpan w:val="2"/>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Тема 27. Профориентационный сериал проекта «Билет в будущее» (часть 1)</w:t>
            </w: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87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28</w:t>
            </w:r>
          </w:p>
        </w:tc>
        <w:tc>
          <w:tcPr>
            <w:tcW w:w="120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28 марта</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2024 г.</w:t>
            </w:r>
          </w:p>
        </w:tc>
        <w:tc>
          <w:tcPr>
            <w:tcW w:w="5745" w:type="dxa"/>
            <w:gridSpan w:val="2"/>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Тема 28. Профориентационный сериал проекта «Билет в будущее» (часть 2)</w:t>
            </w: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c>
          <w:tcPr>
            <w:tcW w:w="87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29</w:t>
            </w:r>
          </w:p>
        </w:tc>
        <w:tc>
          <w:tcPr>
            <w:tcW w:w="120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4 апреля</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2024 г.</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5745" w:type="dxa"/>
            <w:gridSpan w:val="2"/>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Тема 29. Профориентационное занятие «Пробую профессию в инженерной сфере»</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(моделирующая онлайн-проба на платформе проекта «Билет в будущее»)</w:t>
            </w: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87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30</w:t>
            </w:r>
          </w:p>
        </w:tc>
        <w:tc>
          <w:tcPr>
            <w:tcW w:w="120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11 апреля</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2024 г.</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5745" w:type="dxa"/>
            <w:gridSpan w:val="2"/>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Тема 30. Профориентационное занятие «Пробую профессию в цифровой сфере»</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(моделирующая онлайн-проба на платформе проекта «Билет в будущее»)</w:t>
            </w: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87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31</w:t>
            </w:r>
          </w:p>
        </w:tc>
        <w:tc>
          <w:tcPr>
            <w:tcW w:w="120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18 апреля</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2024 г.</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5745" w:type="dxa"/>
            <w:gridSpan w:val="2"/>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Тема 31. Профориентационное занятие «Пробую профессию в сфере промышленности»</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(моделирующая онлайн-проба на платформе проекта «Билет в будущее»)</w:t>
            </w: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87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32</w:t>
            </w:r>
          </w:p>
        </w:tc>
        <w:tc>
          <w:tcPr>
            <w:tcW w:w="120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25 апреля</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2024 г.</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5745" w:type="dxa"/>
            <w:gridSpan w:val="2"/>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Тема 32. Профориентационное занятие «Пробую профессию в сфере медицины»</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(моделирующая онлайн-проба на платформе проекта «Билет в будущее»)</w:t>
            </w: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87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33</w:t>
            </w:r>
          </w:p>
        </w:tc>
        <w:tc>
          <w:tcPr>
            <w:tcW w:w="120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 мая</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2024 г.</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p>
        </w:tc>
        <w:tc>
          <w:tcPr>
            <w:tcW w:w="5745" w:type="dxa"/>
            <w:gridSpan w:val="2"/>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Тема 33. Профориентационное занятие «Пробую профессию в креативной сфере»</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(моделирующая онлайн-проба на платформе проекта «Билет в будущее»)</w:t>
            </w: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87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34</w:t>
            </w:r>
          </w:p>
        </w:tc>
        <w:tc>
          <w:tcPr>
            <w:tcW w:w="1200" w:type="dxa"/>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16 мая</w:t>
            </w:r>
          </w:p>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2024 г.</w:t>
            </w:r>
          </w:p>
        </w:tc>
        <w:tc>
          <w:tcPr>
            <w:tcW w:w="5745" w:type="dxa"/>
            <w:gridSpan w:val="2"/>
            <w:tcBorders>
              <w:top w:val="single" w:color="000000" w:sz="6" w:space="0"/>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Тема 34. Профориентационное занятие «Моё будущее — моя страна»</w:t>
            </w: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spacing w:before="0" w:beforeAutospacing="0" w:after="15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bdr w:val="none" w:color="auto" w:sz="0" w:space="0"/>
              </w:rPr>
              <w:t>1</w:t>
            </w:r>
          </w:p>
        </w:tc>
      </w:tr>
    </w:tbl>
    <w:p>
      <w:pPr>
        <w:pStyle w:val="8"/>
        <w:keepNext w:val="0"/>
        <w:keepLines w:val="0"/>
        <w:widowControl/>
        <w:suppressLineNumbers w:val="0"/>
        <w:shd w:val="clear" w:fill="FFFFFF"/>
        <w:spacing w:before="0" w:beforeAutospacing="0" w:after="150" w:afterAutospacing="0"/>
        <w:ind w:left="0" w:right="0" w:firstLine="0"/>
        <w:jc w:val="left"/>
        <w:rPr>
          <w:rFonts w:hint="default" w:ascii="sans-serif" w:hAnsi="sans-serif" w:eastAsia="sans-serif" w:cs="sans-serif"/>
          <w:i w:val="0"/>
          <w:iCs w:val="0"/>
          <w:caps w:val="0"/>
          <w:color w:val="000000"/>
          <w:spacing w:val="0"/>
          <w:sz w:val="21"/>
          <w:szCs w:val="21"/>
        </w:rPr>
      </w:pPr>
    </w:p>
    <w:p>
      <w:pPr>
        <w:keepNext w:val="0"/>
        <w:keepLines w:val="0"/>
        <w:widowControl/>
        <w:suppressLineNumbers w:val="0"/>
        <w:jc w:val="left"/>
      </w:pPr>
    </w:p>
    <w:p>
      <w:pPr>
        <w:spacing w:after="0" w:line="270" w:lineRule="atLeast"/>
        <w:jc w:val="both"/>
        <w:rPr>
          <w:rFonts w:ascii="Times New Roman" w:hAnsi="Times New Roman" w:eastAsia="SimSun" w:cs="Times New Roman"/>
          <w:sz w:val="24"/>
          <w:szCs w:val="24"/>
        </w:rPr>
      </w:pPr>
    </w:p>
    <w:p>
      <w:pPr>
        <w:spacing w:after="0" w:line="270" w:lineRule="atLeast"/>
        <w:jc w:val="both"/>
        <w:rPr>
          <w:rFonts w:ascii="Times New Roman" w:hAnsi="Times New Roman" w:eastAsia="SimSun" w:cs="Times New Roman"/>
          <w:sz w:val="24"/>
          <w:szCs w:val="24"/>
        </w:rPr>
      </w:pPr>
    </w:p>
    <w:p>
      <w:pPr>
        <w:spacing w:after="0" w:line="270" w:lineRule="atLeast"/>
        <w:jc w:val="both"/>
        <w:rPr>
          <w:rFonts w:ascii="Times New Roman" w:hAnsi="Times New Roman" w:eastAsia="SimSun" w:cs="Times New Roman"/>
          <w:sz w:val="24"/>
          <w:szCs w:val="24"/>
        </w:rPr>
      </w:pPr>
    </w:p>
    <w:p>
      <w:pPr>
        <w:spacing w:after="0" w:line="270" w:lineRule="atLeast"/>
        <w:jc w:val="both"/>
        <w:rPr>
          <w:rFonts w:ascii="Times New Roman" w:hAnsi="Times New Roman" w:eastAsia="SimSun" w:cs="Times New Roman"/>
          <w:sz w:val="24"/>
          <w:szCs w:val="24"/>
        </w:rPr>
      </w:pPr>
    </w:p>
    <w:p>
      <w:pPr>
        <w:spacing w:after="0" w:line="270" w:lineRule="atLeast"/>
        <w:jc w:val="both"/>
        <w:rPr>
          <w:rFonts w:ascii="Times New Roman" w:hAnsi="Times New Roman" w:eastAsia="SimSun" w:cs="Times New Roman"/>
          <w:sz w:val="24"/>
          <w:szCs w:val="24"/>
        </w:rPr>
      </w:pPr>
    </w:p>
    <w:p>
      <w:pPr>
        <w:spacing w:after="0" w:line="240" w:lineRule="auto"/>
        <w:ind w:left="360"/>
        <w:contextualSpacing/>
        <w:rPr>
          <w:rFonts w:ascii="Times New Roman" w:hAnsi="Times New Roman" w:cs="Times New Roman" w:eastAsiaTheme="minorHAnsi"/>
          <w:b/>
          <w:sz w:val="28"/>
          <w:szCs w:val="28"/>
          <w:lang w:eastAsia="en-US"/>
        </w:rPr>
      </w:pPr>
      <w:r>
        <w:rPr>
          <w:rFonts w:ascii="Times New Roman" w:hAnsi="Times New Roman" w:cs="Times New Roman" w:eastAsiaTheme="minorHAnsi"/>
          <w:b/>
          <w:sz w:val="28"/>
          <w:szCs w:val="28"/>
          <w:lang w:eastAsia="en-US"/>
        </w:rPr>
        <w:t>Учебно-методическое обеспечение.</w:t>
      </w:r>
    </w:p>
    <w:p>
      <w:pPr>
        <w:spacing w:after="0" w:line="270" w:lineRule="atLeast"/>
        <w:jc w:val="both"/>
        <w:rPr>
          <w:rFonts w:ascii="Times New Roman" w:hAnsi="Times New Roman" w:eastAsia="SimSun" w:cs="Times New Roman"/>
          <w:sz w:val="28"/>
          <w:szCs w:val="28"/>
        </w:rPr>
      </w:pPr>
    </w:p>
    <w:p>
      <w:pPr>
        <w:spacing w:after="0" w:line="270" w:lineRule="atLeast"/>
        <w:jc w:val="both"/>
        <w:rPr>
          <w:rFonts w:ascii="Times New Roman" w:hAnsi="Times New Roman" w:eastAsia="SimSun" w:cs="Times New Roman"/>
          <w:sz w:val="24"/>
          <w:szCs w:val="24"/>
        </w:rPr>
      </w:pPr>
    </w:p>
    <w:p>
      <w:pPr>
        <w:spacing w:after="0" w:line="270" w:lineRule="atLeast"/>
        <w:jc w:val="both"/>
        <w:rPr>
          <w:rFonts w:ascii="Times New Roman" w:hAnsi="Times New Roman" w:eastAsia="SimSun" w:cs="Times New Roman"/>
          <w:sz w:val="24"/>
          <w:szCs w:val="24"/>
        </w:rPr>
      </w:pPr>
    </w:p>
    <w:p>
      <w:pPr>
        <w:spacing w:after="0" w:line="270" w:lineRule="atLeast"/>
        <w:jc w:val="both"/>
        <w:rPr>
          <w:rFonts w:ascii="Times New Roman" w:hAnsi="Times New Roman" w:eastAsia="SimSun" w:cs="Times New Roman"/>
          <w:sz w:val="24"/>
          <w:szCs w:val="24"/>
        </w:rPr>
      </w:pPr>
    </w:p>
    <w:p>
      <w:pPr>
        <w:rPr>
          <w:rFonts w:ascii="Times New Roman" w:hAnsi="Times New Roman" w:cs="Times New Roman"/>
          <w:b/>
          <w:bCs w:val="0"/>
          <w:sz w:val="24"/>
          <w:szCs w:val="24"/>
        </w:rPr>
      </w:pPr>
      <w:r>
        <w:rPr>
          <w:rFonts w:ascii="Times New Roman" w:hAnsi="Times New Roman" w:cs="Times New Roman"/>
          <w:b/>
          <w:bCs w:val="0"/>
          <w:sz w:val="24"/>
          <w:szCs w:val="24"/>
        </w:rPr>
        <w:t>ЦИФРОВЫЕ ОБРАЗОВАТЕЛЬНЫЕ РЕСУРСЫ И РЕСУРСЫ СЕТИ ИНТЕРНЕТ</w:t>
      </w:r>
    </w:p>
    <w:p>
      <w:pPr>
        <w:spacing w:after="0" w:line="270" w:lineRule="atLeast"/>
        <w:jc w:val="both"/>
        <w:rPr>
          <w:rFonts w:ascii="Times New Roman" w:hAnsi="Times New Roman" w:eastAsia="SimSun" w:cs="Times New Roman"/>
          <w:sz w:val="24"/>
          <w:szCs w:val="24"/>
        </w:rPr>
      </w:pPr>
    </w:p>
    <w:p>
      <w:pPr>
        <w:spacing w:after="0" w:line="270" w:lineRule="atLeast"/>
        <w:jc w:val="both"/>
        <w:rPr>
          <w:rFonts w:ascii="Times New Roman" w:hAnsi="Times New Roman" w:eastAsia="SimSun" w:cs="Times New Roman"/>
          <w:sz w:val="24"/>
          <w:szCs w:val="24"/>
        </w:rPr>
      </w:pPr>
    </w:p>
    <w:p>
      <w:pPr>
        <w:spacing w:after="0" w:line="270" w:lineRule="atLeast"/>
        <w:jc w:val="both"/>
        <w:rPr>
          <w:rFonts w:ascii="Times New Roman" w:hAnsi="Times New Roman" w:eastAsia="SimSun" w:cs="Times New Roman"/>
          <w:sz w:val="24"/>
          <w:szCs w:val="24"/>
        </w:rPr>
      </w:pPr>
      <w:r>
        <w:rPr>
          <w:rFonts w:hint="default" w:ascii="Times New Roman" w:hAnsi="Times New Roman" w:eastAsia="SimSun"/>
          <w:sz w:val="24"/>
          <w:szCs w:val="24"/>
        </w:rPr>
        <w:t>http://profmin.bvbinfo.ru/</w:t>
      </w:r>
    </w:p>
    <w:p>
      <w:pPr>
        <w:spacing w:after="0" w:line="270" w:lineRule="atLeast"/>
        <w:jc w:val="both"/>
        <w:rPr>
          <w:rFonts w:ascii="Times New Roman" w:hAnsi="Times New Roman" w:eastAsia="SimSun" w:cs="Times New Roman"/>
          <w:sz w:val="24"/>
          <w:szCs w:val="24"/>
        </w:rPr>
      </w:pPr>
    </w:p>
    <w:sectPr>
      <w:footerReference r:id="rId5" w:type="default"/>
      <w:pgSz w:w="11906" w:h="16838"/>
      <w:pgMar w:top="1134" w:right="851" w:bottom="1134" w:left="85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Calibri">
    <w:panose1 w:val="020F0502020204030204"/>
    <w:charset w:val="86"/>
    <w:family w:val="swiss"/>
    <w:pitch w:val="default"/>
    <w:sig w:usb0="E4002EFF" w:usb1="C000247B" w:usb2="00000009" w:usb3="00000000" w:csb0="200001FF" w:csb1="00000000"/>
  </w:font>
  <w:font w:name="Segoe UI Light">
    <w:panose1 w:val="020B0502040204020203"/>
    <w:charset w:val="00"/>
    <w:family w:val="auto"/>
    <w:pitch w:val="default"/>
    <w:sig w:usb0="E4002EFF" w:usb1="C000E47F" w:usb2="00000009" w:usb3="00000000" w:csb0="200001FF" w:csb1="00000000"/>
  </w:font>
  <w:font w:name="Segoe UI Semilight">
    <w:panose1 w:val="020B0402040204020203"/>
    <w:charset w:val="00"/>
    <w:family w:val="auto"/>
    <w:pitch w:val="default"/>
    <w:sig w:usb0="E4002EFF" w:usb1="C000E47F" w:usb2="00000009" w:usb3="00000000" w:csb0="200001FF" w:csb1="00000000"/>
  </w:font>
  <w:font w:name="Segoe UI Emoji">
    <w:panose1 w:val="020B0502040204020203"/>
    <w:charset w:val="00"/>
    <w:family w:val="auto"/>
    <w:pitch w:val="default"/>
    <w:sig w:usb0="00000001" w:usb1="02000000" w:usb2="00000000" w:usb3="00000000" w:csb0="00000001" w:csb1="00000000"/>
  </w:font>
  <w:font w:name="Sitka Display">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Cambria Math">
    <w:panose1 w:val="02040503050406030204"/>
    <w:charset w:val="00"/>
    <w:family w:val="auto"/>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Sitka Banner">
    <w:panose1 w:val="02000505000000020004"/>
    <w:charset w:val="00"/>
    <w:family w:val="auto"/>
    <w:pitch w:val="default"/>
    <w:sig w:usb0="A00002EF" w:usb1="4000204B" w:usb2="00000000" w:usb3="00000000" w:csb0="2000019F" w:csb1="00000000"/>
  </w:font>
  <w:font w:name="Cambria">
    <w:panose1 w:val="02040503050406030204"/>
    <w:charset w:val="00"/>
    <w:family w:val="auto"/>
    <w:pitch w:val="default"/>
    <w:sig w:usb0="E00006FF" w:usb1="420024FF" w:usb2="02000000" w:usb3="00000000" w:csb0="2000019F" w:csb1="00000000"/>
  </w:font>
  <w:font w:name="Segoe UI Historic">
    <w:panose1 w:val="020B0502040204020203"/>
    <w:charset w:val="00"/>
    <w:family w:val="auto"/>
    <w:pitch w:val="default"/>
    <w:sig w:usb0="800001EF" w:usb1="02000002" w:usb2="0060C080" w:usb3="00000002" w:csb0="00000001" w:csb1="4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9853545"/>
    </w:sdtPr>
    <w:sdtContent>
      <w:p>
        <w:pPr>
          <w:pStyle w:val="5"/>
          <w:jc w:val="center"/>
        </w:pPr>
        <w:r>
          <w:fldChar w:fldCharType="begin"/>
        </w:r>
        <w:r>
          <w:instrText xml:space="preserve"> PAGE   \* MERGEFORMAT </w:instrText>
        </w:r>
        <w:r>
          <w:fldChar w:fldCharType="separate"/>
        </w:r>
        <w:r>
          <w:t>9</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27D7BF35"/>
    <w:multiLevelType w:val="singleLevel"/>
    <w:tmpl w:val="27D7BF35"/>
    <w:lvl w:ilvl="0" w:tentative="0">
      <w:start w:val="1"/>
      <w:numFmt w:val="decimal"/>
      <w:lvlText w:val="%1."/>
      <w:lvlJc w:val="left"/>
      <w:pPr>
        <w:tabs>
          <w:tab w:val="left" w:pos="312"/>
        </w:tabs>
        <w:ind w:left="60" w:leftChars="0" w:firstLine="0" w:firstLineChars="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708"/>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543BD6"/>
    <w:rsid w:val="000304BA"/>
    <w:rsid w:val="000527A9"/>
    <w:rsid w:val="000857A4"/>
    <w:rsid w:val="000967A8"/>
    <w:rsid w:val="000C71E7"/>
    <w:rsid w:val="000F32C6"/>
    <w:rsid w:val="000F7685"/>
    <w:rsid w:val="00151359"/>
    <w:rsid w:val="00187156"/>
    <w:rsid w:val="001909D5"/>
    <w:rsid w:val="00196692"/>
    <w:rsid w:val="001B2B3A"/>
    <w:rsid w:val="00201410"/>
    <w:rsid w:val="00247920"/>
    <w:rsid w:val="00266E51"/>
    <w:rsid w:val="00272AE1"/>
    <w:rsid w:val="002862CD"/>
    <w:rsid w:val="00334AFF"/>
    <w:rsid w:val="0034626C"/>
    <w:rsid w:val="00350579"/>
    <w:rsid w:val="00380E77"/>
    <w:rsid w:val="004A15E3"/>
    <w:rsid w:val="004A76C5"/>
    <w:rsid w:val="004B2047"/>
    <w:rsid w:val="004C0415"/>
    <w:rsid w:val="005149EC"/>
    <w:rsid w:val="00543BD6"/>
    <w:rsid w:val="00581763"/>
    <w:rsid w:val="00585A71"/>
    <w:rsid w:val="005C4CAD"/>
    <w:rsid w:val="005F40C7"/>
    <w:rsid w:val="006003FA"/>
    <w:rsid w:val="00605C66"/>
    <w:rsid w:val="006C7992"/>
    <w:rsid w:val="006D6427"/>
    <w:rsid w:val="006D7625"/>
    <w:rsid w:val="00713C5B"/>
    <w:rsid w:val="00753B02"/>
    <w:rsid w:val="00760666"/>
    <w:rsid w:val="00765983"/>
    <w:rsid w:val="0077578D"/>
    <w:rsid w:val="007D3720"/>
    <w:rsid w:val="00851BB6"/>
    <w:rsid w:val="00860C51"/>
    <w:rsid w:val="00884992"/>
    <w:rsid w:val="00911608"/>
    <w:rsid w:val="009270FB"/>
    <w:rsid w:val="00987372"/>
    <w:rsid w:val="009E5D03"/>
    <w:rsid w:val="00A80671"/>
    <w:rsid w:val="00AA2C4E"/>
    <w:rsid w:val="00AC6771"/>
    <w:rsid w:val="00AF435F"/>
    <w:rsid w:val="00B57427"/>
    <w:rsid w:val="00B82C5E"/>
    <w:rsid w:val="00B87CC8"/>
    <w:rsid w:val="00B9115B"/>
    <w:rsid w:val="00C019D5"/>
    <w:rsid w:val="00C17E59"/>
    <w:rsid w:val="00C33278"/>
    <w:rsid w:val="00C4440E"/>
    <w:rsid w:val="00C54914"/>
    <w:rsid w:val="00C96F7E"/>
    <w:rsid w:val="00CD6F28"/>
    <w:rsid w:val="00CE7781"/>
    <w:rsid w:val="00D1334F"/>
    <w:rsid w:val="00D274D7"/>
    <w:rsid w:val="00D45057"/>
    <w:rsid w:val="00D45700"/>
    <w:rsid w:val="00E2136A"/>
    <w:rsid w:val="00E31165"/>
    <w:rsid w:val="00E8553F"/>
    <w:rsid w:val="00E936F4"/>
    <w:rsid w:val="00EA3F54"/>
    <w:rsid w:val="00EC153B"/>
    <w:rsid w:val="00EF6C73"/>
    <w:rsid w:val="00F1400D"/>
    <w:rsid w:val="00F25AB7"/>
    <w:rsid w:val="00F662BF"/>
    <w:rsid w:val="00FE6BC3"/>
    <w:rsid w:val="00FF4530"/>
    <w:rsid w:val="17A86561"/>
    <w:rsid w:val="26F45F99"/>
    <w:rsid w:val="30814D80"/>
    <w:rsid w:val="50483F66"/>
    <w:rsid w:val="51AC52D5"/>
    <w:rsid w:val="79B71190"/>
    <w:rsid w:val="7FEA5542"/>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22"/>
    <w:semiHidden/>
    <w:unhideWhenUsed/>
    <w:qFormat/>
    <w:uiPriority w:val="99"/>
    <w:pPr>
      <w:spacing w:after="0" w:line="240" w:lineRule="auto"/>
    </w:pPr>
    <w:rPr>
      <w:rFonts w:ascii="Tahoma" w:hAnsi="Tahoma" w:cs="Tahoma"/>
      <w:sz w:val="16"/>
      <w:szCs w:val="16"/>
    </w:rPr>
  </w:style>
  <w:style w:type="paragraph" w:styleId="5">
    <w:name w:val="footer"/>
    <w:basedOn w:val="1"/>
    <w:link w:val="17"/>
    <w:unhideWhenUsed/>
    <w:qFormat/>
    <w:uiPriority w:val="99"/>
    <w:pPr>
      <w:tabs>
        <w:tab w:val="center" w:pos="4677"/>
        <w:tab w:val="right" w:pos="9355"/>
      </w:tabs>
      <w:spacing w:after="0" w:line="240" w:lineRule="auto"/>
    </w:pPr>
  </w:style>
  <w:style w:type="paragraph" w:styleId="6">
    <w:name w:val="header"/>
    <w:basedOn w:val="1"/>
    <w:link w:val="16"/>
    <w:semiHidden/>
    <w:unhideWhenUsed/>
    <w:qFormat/>
    <w:uiPriority w:val="99"/>
    <w:pPr>
      <w:tabs>
        <w:tab w:val="center" w:pos="4677"/>
        <w:tab w:val="right" w:pos="9355"/>
      </w:tabs>
      <w:spacing w:after="0" w:line="240" w:lineRule="auto"/>
    </w:pPr>
  </w:style>
  <w:style w:type="character" w:styleId="7">
    <w:name w:val="Hyperlink"/>
    <w:basedOn w:val="2"/>
    <w:semiHidden/>
    <w:unhideWhenUsed/>
    <w:qFormat/>
    <w:uiPriority w:val="99"/>
    <w:rPr>
      <w:color w:val="0000FF"/>
      <w:u w:val="single"/>
    </w:rPr>
  </w:style>
  <w:style w:type="paragraph" w:styleId="8">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9">
    <w:name w:val="Table Grid"/>
    <w:basedOn w:val="3"/>
    <w:qFormat/>
    <w:uiPriority w:val="59"/>
    <w:rPr>
      <w:rFonts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left="720"/>
      <w:contextualSpacing/>
    </w:pPr>
  </w:style>
  <w:style w:type="table" w:customStyle="1" w:styleId="11">
    <w:name w:val="Сетка таблицы2"/>
    <w:basedOn w:val="3"/>
    <w:qFormat/>
    <w:uiPriority w:val="59"/>
    <w:rPr>
      <w:rFonts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WW-Базовый"/>
    <w:qFormat/>
    <w:uiPriority w:val="0"/>
    <w:pPr>
      <w:widowControl w:val="0"/>
      <w:tabs>
        <w:tab w:val="left" w:pos="708"/>
      </w:tabs>
      <w:suppressAutoHyphens/>
      <w:spacing w:line="100" w:lineRule="atLeast"/>
    </w:pPr>
    <w:rPr>
      <w:rFonts w:ascii="Times New Roman" w:hAnsi="Times New Roman" w:eastAsia="Calibri" w:cs="Times New Roman"/>
      <w:lang w:val="en-US" w:eastAsia="zh-CN" w:bidi="ar-SA"/>
    </w:rPr>
  </w:style>
  <w:style w:type="character" w:customStyle="1" w:styleId="13">
    <w:name w:val="Основной текст_"/>
    <w:link w:val="14"/>
    <w:qFormat/>
    <w:locked/>
    <w:uiPriority w:val="0"/>
    <w:rPr>
      <w:sz w:val="27"/>
      <w:szCs w:val="27"/>
      <w:shd w:val="clear" w:color="auto" w:fill="FFFFFF"/>
    </w:rPr>
  </w:style>
  <w:style w:type="paragraph" w:customStyle="1" w:styleId="14">
    <w:name w:val="Основной текст2"/>
    <w:basedOn w:val="1"/>
    <w:link w:val="13"/>
    <w:qFormat/>
    <w:uiPriority w:val="0"/>
    <w:pPr>
      <w:shd w:val="clear" w:color="auto" w:fill="FFFFFF"/>
      <w:spacing w:after="0" w:line="293" w:lineRule="exact"/>
      <w:jc w:val="both"/>
    </w:pPr>
    <w:rPr>
      <w:rFonts w:eastAsiaTheme="minorHAnsi"/>
      <w:sz w:val="27"/>
      <w:szCs w:val="27"/>
      <w:lang w:eastAsia="en-US"/>
    </w:rPr>
  </w:style>
  <w:style w:type="character" w:customStyle="1" w:styleId="15">
    <w:name w:val="Основной текст1"/>
    <w:basedOn w:val="13"/>
    <w:qFormat/>
    <w:uiPriority w:val="0"/>
    <w:rPr>
      <w:sz w:val="27"/>
      <w:szCs w:val="27"/>
      <w:shd w:val="clear" w:color="auto" w:fill="FFFFFF"/>
    </w:rPr>
  </w:style>
  <w:style w:type="character" w:customStyle="1" w:styleId="16">
    <w:name w:val="Верхний колонтитул Знак"/>
    <w:basedOn w:val="2"/>
    <w:link w:val="6"/>
    <w:semiHidden/>
    <w:qFormat/>
    <w:uiPriority w:val="99"/>
    <w:rPr>
      <w:rFonts w:eastAsiaTheme="minorEastAsia"/>
      <w:lang w:eastAsia="zh-CN"/>
    </w:rPr>
  </w:style>
  <w:style w:type="character" w:customStyle="1" w:styleId="17">
    <w:name w:val="Нижний колонтитул Знак"/>
    <w:basedOn w:val="2"/>
    <w:link w:val="5"/>
    <w:qFormat/>
    <w:uiPriority w:val="99"/>
    <w:rPr>
      <w:rFonts w:eastAsiaTheme="minorEastAsia"/>
      <w:lang w:eastAsia="zh-CN"/>
    </w:rPr>
  </w:style>
  <w:style w:type="paragraph" w:customStyle="1" w:styleId="18">
    <w:name w:val="Абзац списка1"/>
    <w:basedOn w:val="1"/>
    <w:qFormat/>
    <w:uiPriority w:val="0"/>
    <w:pPr>
      <w:ind w:left="720"/>
      <w:contextualSpacing/>
    </w:pPr>
    <w:rPr>
      <w:rFonts w:ascii="Times New Roman" w:hAnsi="Times New Roman" w:eastAsia="Times New Roman" w:cs="Times New Roman"/>
      <w:sz w:val="24"/>
      <w:lang w:eastAsia="en-US"/>
    </w:rPr>
  </w:style>
  <w:style w:type="character" w:customStyle="1" w:styleId="19">
    <w:name w:val="No Spacing Char"/>
    <w:link w:val="20"/>
    <w:qFormat/>
    <w:locked/>
    <w:uiPriority w:val="0"/>
    <w:rPr>
      <w:rFonts w:ascii="Calibri" w:hAnsi="Calibri" w:eastAsia="Calibri" w:cs="Calibri"/>
      <w:szCs w:val="24"/>
    </w:rPr>
  </w:style>
  <w:style w:type="paragraph" w:customStyle="1" w:styleId="20">
    <w:name w:val="Без интервала1"/>
    <w:link w:val="19"/>
    <w:qFormat/>
    <w:uiPriority w:val="0"/>
    <w:rPr>
      <w:rFonts w:ascii="Calibri" w:hAnsi="Calibri" w:eastAsia="Calibri" w:cs="Calibri"/>
      <w:sz w:val="22"/>
      <w:szCs w:val="24"/>
      <w:lang w:val="ru-RU" w:eastAsia="en-US" w:bidi="ar-SA"/>
    </w:rPr>
  </w:style>
  <w:style w:type="paragraph" w:customStyle="1" w:styleId="21">
    <w:name w:val="Абзац списка11"/>
    <w:basedOn w:val="1"/>
    <w:qFormat/>
    <w:uiPriority w:val="0"/>
    <w:pPr>
      <w:ind w:left="720"/>
      <w:contextualSpacing/>
    </w:pPr>
    <w:rPr>
      <w:rFonts w:ascii="Calibri" w:hAnsi="Calibri" w:eastAsia="Calibri" w:cs="Times New Roman"/>
      <w:lang w:eastAsia="en-US"/>
    </w:rPr>
  </w:style>
  <w:style w:type="character" w:customStyle="1" w:styleId="22">
    <w:name w:val="Текст выноски Знак"/>
    <w:basedOn w:val="2"/>
    <w:link w:val="4"/>
    <w:semiHidden/>
    <w:qFormat/>
    <w:uiPriority w:val="99"/>
    <w:rPr>
      <w:rFonts w:ascii="Tahoma" w:hAnsi="Tahoma" w:cs="Tahoma" w:eastAsiaTheme="minorEastAsia"/>
      <w:sz w:val="16"/>
      <w:szCs w:val="16"/>
      <w:lang w:eastAsia="zh-CN"/>
    </w:rPr>
  </w:style>
  <w:style w:type="paragraph" w:styleId="23">
    <w:name w:val="No Spacing"/>
    <w:qFormat/>
    <w:uiPriority w:val="1"/>
    <w:rPr>
      <w:rFonts w:ascii="Calibri" w:hAnsi="Calibri" w:eastAsia="Times New Roman" w:cs="Times New Roman"/>
      <w:sz w:val="22"/>
      <w:szCs w:val="22"/>
      <w:lang w:val="ru-RU" w:eastAsia="ru-RU" w:bidi="ar-SA"/>
    </w:rPr>
  </w:style>
  <w:style w:type="table" w:customStyle="1" w:styleId="24">
    <w:name w:val="TableGrid1"/>
    <w:uiPriority w:val="0"/>
    <w:pPr>
      <w:spacing w:after="0" w:line="240" w:lineRule="auto"/>
    </w:pPr>
    <w:rPr>
      <w:rFonts w:ascii="Times New Roman" w:hAnsi="Times New Roman" w:eastAsia="SimSun" w:cs="Times New Roman"/>
      <w:sz w:val="20"/>
      <w:szCs w:val="20"/>
      <w:lang w:eastAsia="ru-RU"/>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02114-DA1D-4B19-B243-B44183102385}">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1</Pages>
  <Words>4444</Words>
  <Characters>25335</Characters>
  <Lines>211</Lines>
  <Paragraphs>59</Paragraphs>
  <TotalTime>12</TotalTime>
  <ScaleCrop>false</ScaleCrop>
  <LinksUpToDate>false</LinksUpToDate>
  <CharactersWithSpaces>29720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2016-06-27T07:38:00Z</dcterms:created>
  <dc:creator>Livsik</dc:creator>
  <cp:lastModifiedBy>Ирина</cp:lastModifiedBy>
  <cp:lastPrinted>2021-08-17T09:22:00Z</cp:lastPrinted>
  <dcterms:modified xsi:type="dcterms:W3CDTF">2023-09-18T19:03:33Z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D9E23B9A6E054985B43486B4305C32CC</vt:lpwstr>
  </property>
</Properties>
</file>