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D2" w:rsidRPr="00A75F3C" w:rsidRDefault="00A75F3C" w:rsidP="00A75F3C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proofErr w:type="gramStart"/>
      <w:r w:rsidR="001545D2" w:rsidRPr="00A75F3C">
        <w:rPr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 w:rsidR="001545D2" w:rsidRPr="00A75F3C">
        <w:rPr>
          <w:color w:val="000000"/>
          <w:sz w:val="24"/>
          <w:szCs w:val="24"/>
        </w:rPr>
        <w:t xml:space="preserve"> </w:t>
      </w:r>
      <w:proofErr w:type="gramStart"/>
      <w:r w:rsidR="001545D2" w:rsidRPr="00A75F3C">
        <w:rPr>
          <w:color w:val="000000"/>
          <w:sz w:val="24"/>
          <w:szCs w:val="24"/>
        </w:rPr>
        <w:t>Разработана</w:t>
      </w:r>
      <w:proofErr w:type="gramEnd"/>
      <w:r w:rsidR="001545D2" w:rsidRPr="00A75F3C">
        <w:rPr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 w:rsidR="001545D2" w:rsidRPr="00A75F3C">
        <w:rPr>
          <w:color w:val="000000"/>
          <w:sz w:val="24"/>
          <w:szCs w:val="24"/>
        </w:rPr>
        <w:t>Старокрымский</w:t>
      </w:r>
      <w:proofErr w:type="spellEnd"/>
      <w:r w:rsidR="001545D2" w:rsidRPr="00A75F3C">
        <w:rPr>
          <w:color w:val="000000"/>
          <w:sz w:val="24"/>
          <w:szCs w:val="24"/>
        </w:rPr>
        <w:t xml:space="preserve"> УВК №1».</w:t>
      </w:r>
    </w:p>
    <w:p w:rsidR="001545D2" w:rsidRPr="001545D2" w:rsidRDefault="00A75F3C" w:rsidP="00A75F3C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="001545D2" w:rsidRPr="001545D2">
        <w:rPr>
          <w:sz w:val="24"/>
          <w:szCs w:val="24"/>
        </w:rPr>
        <w:t xml:space="preserve"> </w:t>
      </w:r>
      <w:r w:rsidR="001545D2" w:rsidRPr="001545D2">
        <w:rPr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ind w:right="99"/>
        <w:jc w:val="both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 измерения;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 способов для разрешения сюжетных ситуаций; формирование умения решать учебные и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алгоритмами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right="96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 наличием</w:t>
      </w:r>
      <w:r>
        <w:rPr>
          <w:spacing w:val="-57"/>
          <w:sz w:val="24"/>
        </w:rPr>
        <w:t xml:space="preserve"> </w:t>
      </w:r>
      <w:r>
        <w:rPr>
          <w:sz w:val="24"/>
        </w:rPr>
        <w:t>у него опыта решения учебно-познавательных и учебно-практических задач, построенных на понимании и 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отношений («часть-целое», «</w:t>
      </w:r>
      <w:proofErr w:type="gramStart"/>
      <w:r>
        <w:rPr>
          <w:sz w:val="24"/>
        </w:rPr>
        <w:t>больше-меньше</w:t>
      </w:r>
      <w:proofErr w:type="gramEnd"/>
      <w:r>
        <w:rPr>
          <w:sz w:val="24"/>
        </w:rPr>
        <w:t>», «равно-неравно», «порядок»), смысла 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(работа, движение, продолжительность события).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ind w:right="9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 различать верные (истинные) и неверные (ложные) утверждения, вести поиск информации (примеров,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упорядочения, 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right="98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ориентировки 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терминах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1"/>
          <w:sz w:val="24"/>
        </w:rPr>
        <w:t xml:space="preserve"> </w:t>
      </w:r>
      <w:r>
        <w:rPr>
          <w:sz w:val="24"/>
        </w:rPr>
        <w:t>прочных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93587C" w:rsidRDefault="0093587C" w:rsidP="0093587C">
      <w:pPr>
        <w:pStyle w:val="TableParagraph"/>
        <w:spacing w:before="1"/>
        <w:ind w:left="1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“Математика”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отводится: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16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неделю);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93587C" w:rsidRDefault="0093587C" w:rsidP="0093587C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hanging="361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105F7C" w:rsidRDefault="0093587C" w:rsidP="0093587C">
      <w:r>
        <w:rPr>
          <w:sz w:val="24"/>
        </w:rPr>
        <w:t xml:space="preserve">              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неделю).</w:t>
      </w:r>
    </w:p>
    <w:sectPr w:rsidR="0010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01"/>
    <w:rsid w:val="00105F7C"/>
    <w:rsid w:val="001545D2"/>
    <w:rsid w:val="0093587C"/>
    <w:rsid w:val="00951701"/>
    <w:rsid w:val="00A7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3587C"/>
  </w:style>
  <w:style w:type="paragraph" w:styleId="a3">
    <w:name w:val="List Paragraph"/>
    <w:basedOn w:val="a"/>
    <w:uiPriority w:val="34"/>
    <w:qFormat/>
    <w:rsid w:val="00154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3587C"/>
  </w:style>
  <w:style w:type="paragraph" w:styleId="a3">
    <w:name w:val="List Paragraph"/>
    <w:basedOn w:val="a"/>
    <w:uiPriority w:val="34"/>
    <w:qFormat/>
    <w:rsid w:val="0015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2023-09-20T07:49:00Z</dcterms:created>
  <dcterms:modified xsi:type="dcterms:W3CDTF">2023-09-20T07:54:00Z</dcterms:modified>
</cp:coreProperties>
</file>