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E0" w:rsidRDefault="00E16DE0" w:rsidP="00E16DE0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16DE0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рабочей программе учебного предмета «Химия», </w:t>
      </w:r>
    </w:p>
    <w:p w:rsidR="00E16DE0" w:rsidRPr="00E16DE0" w:rsidRDefault="00E16DE0" w:rsidP="00E16DE0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16DE0">
        <w:rPr>
          <w:rFonts w:ascii="Times New Roman" w:hAnsi="Times New Roman"/>
          <w:b/>
          <w:color w:val="000000"/>
          <w:sz w:val="28"/>
          <w:lang w:val="ru-RU"/>
        </w:rPr>
        <w:t>8-9 класс.</w:t>
      </w:r>
    </w:p>
    <w:p w:rsidR="00E16DE0" w:rsidRDefault="00E16DE0" w:rsidP="00E16D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9552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</w:t>
      </w:r>
      <w:r w:rsidRPr="00C62002">
        <w:rPr>
          <w:rFonts w:ascii="Times New Roman" w:hAnsi="Times New Roman"/>
          <w:color w:val="000000"/>
          <w:sz w:val="28"/>
          <w:lang w:val="ru-RU"/>
        </w:rPr>
        <w:t>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6D1503" w:rsidRPr="00C62002" w:rsidRDefault="006D1503" w:rsidP="00E16D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Данная программа рассчитана на 68 часов (2 часа в неделю)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C62002">
        <w:rPr>
          <w:rFonts w:ascii="Times New Roman" w:hAnsi="Times New Roman"/>
          <w:b/>
          <w:color w:val="000000"/>
          <w:sz w:val="28"/>
          <w:lang w:val="ru-RU"/>
        </w:rPr>
        <w:t xml:space="preserve">Задача 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важное значение приобрели такие </w:t>
      </w:r>
      <w:r w:rsidRPr="00C62002">
        <w:rPr>
          <w:rFonts w:ascii="Times New Roman" w:hAnsi="Times New Roman"/>
          <w:b/>
          <w:color w:val="000000"/>
          <w:sz w:val="28"/>
          <w:lang w:val="ru-RU"/>
        </w:rPr>
        <w:t>цели</w:t>
      </w:r>
      <w:r w:rsidRPr="00E9552E">
        <w:rPr>
          <w:rFonts w:ascii="Times New Roman" w:hAnsi="Times New Roman"/>
          <w:color w:val="000000"/>
          <w:sz w:val="28"/>
          <w:lang w:val="ru-RU"/>
        </w:rPr>
        <w:t>, как: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Calibri" w:hAnsi="Calibri"/>
          <w:color w:val="000000"/>
          <w:sz w:val="28"/>
          <w:lang w:val="ru-RU"/>
        </w:rPr>
        <w:t>–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Calibri" w:hAnsi="Calibri"/>
          <w:color w:val="000000"/>
          <w:sz w:val="28"/>
          <w:lang w:val="ru-RU"/>
        </w:rPr>
        <w:t>–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Calibri" w:hAnsi="Calibri"/>
          <w:color w:val="000000"/>
          <w:sz w:val="28"/>
          <w:lang w:val="ru-RU"/>
        </w:rPr>
        <w:t>–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E9552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Calibri" w:hAnsi="Calibri"/>
          <w:color w:val="000000"/>
          <w:sz w:val="28"/>
          <w:lang w:val="ru-RU"/>
        </w:rPr>
        <w:t>–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E16DE0" w:rsidRPr="00E9552E" w:rsidRDefault="00E16DE0" w:rsidP="00E16DE0">
      <w:pPr>
        <w:spacing w:after="0" w:line="264" w:lineRule="auto"/>
        <w:ind w:firstLine="600"/>
        <w:jc w:val="both"/>
        <w:rPr>
          <w:lang w:val="ru-RU"/>
        </w:rPr>
      </w:pPr>
      <w:r w:rsidRPr="00E9552E">
        <w:rPr>
          <w:rFonts w:ascii="Calibri" w:hAnsi="Calibri"/>
          <w:color w:val="000000"/>
          <w:sz w:val="28"/>
          <w:lang w:val="ru-RU"/>
        </w:rPr>
        <w:t>–</w:t>
      </w:r>
      <w:r w:rsidRPr="00E9552E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1290A" w:rsidRDefault="00E16DE0" w:rsidP="00E16DE0">
      <w:pPr>
        <w:rPr>
          <w:rFonts w:ascii="Times New Roman" w:hAnsi="Times New Roman"/>
          <w:color w:val="000000"/>
          <w:sz w:val="28"/>
          <w:lang w:val="ru-RU"/>
        </w:rPr>
      </w:pPr>
      <w:r w:rsidRPr="00E9552E">
        <w:rPr>
          <w:rFonts w:ascii="Calibri" w:hAnsi="Calibri"/>
          <w:color w:val="333333"/>
          <w:sz w:val="28"/>
          <w:lang w:val="ru-RU"/>
        </w:rPr>
        <w:lastRenderedPageBreak/>
        <w:t>–</w:t>
      </w:r>
      <w:r w:rsidRPr="00E9552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9552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E16DE0" w:rsidRPr="00E16DE0" w:rsidRDefault="00E16DE0" w:rsidP="00E16DE0">
      <w:pPr>
        <w:spacing w:after="0"/>
        <w:ind w:left="120"/>
        <w:rPr>
          <w:rFonts w:ascii="Calibri" w:eastAsia="Calibri" w:hAnsi="Calibri" w:cs="Times New Roman"/>
        </w:rPr>
      </w:pPr>
      <w:r w:rsidRPr="00E16DE0">
        <w:rPr>
          <w:rFonts w:ascii="Times New Roman" w:eastAsia="Calibri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E16DE0" w:rsidRPr="00E16DE0" w:rsidRDefault="00E16DE0" w:rsidP="00E16DE0">
      <w:pPr>
        <w:spacing w:after="0"/>
        <w:ind w:left="120"/>
        <w:rPr>
          <w:rFonts w:ascii="Calibri" w:eastAsia="Calibri" w:hAnsi="Calibri" w:cs="Times New Roman"/>
        </w:rPr>
      </w:pPr>
      <w:r w:rsidRPr="00E16DE0">
        <w:rPr>
          <w:rFonts w:ascii="Times New Roman" w:eastAsia="Calibri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222"/>
        <w:gridCol w:w="909"/>
        <w:gridCol w:w="1759"/>
        <w:gridCol w:w="1825"/>
        <w:gridCol w:w="1976"/>
      </w:tblGrid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Первоначальные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химические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Всероссийский урок, посвящённый году науки и технологий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Всероссийский урок «ОБЖ» (урок подготовки детей к действиям в условиях различного рода ЧС)</w:t>
            </w: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Вещества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химические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Тематический</w:t>
            </w:r>
            <w:r w:rsidRPr="00E1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урок, </w:t>
            </w: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Воздух. Кислород.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Понятие об оксидах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здоровья и пропаганды ЗОЖ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Урок, посвящённый Дню борьбы со СПИДом</w:t>
            </w: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посвященный Дню Республики Крым</w:t>
            </w: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посвященный Всемирному дню гражданской обороны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«День воссоединения Крыма с Россией»</w:t>
            </w: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классы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неорганических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посвящённый Дню Российской науки</w:t>
            </w: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Гагаринский урок «Космос - это мы»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Урок Памяти. Урок мужества и воинской славы, посвященный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Дню Победы советского народа в Великой Отечественной войне 1941-1945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16DE0" w:rsidRPr="00E16DE0" w:rsidTr="00975D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</w:tbl>
    <w:p w:rsidR="00E16DE0" w:rsidRPr="00E16DE0" w:rsidRDefault="00E16DE0" w:rsidP="00E16DE0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16DE0" w:rsidRPr="00E16DE0" w:rsidRDefault="00E16DE0" w:rsidP="00E16DE0">
      <w:pPr>
        <w:spacing w:after="0"/>
        <w:ind w:left="120"/>
        <w:rPr>
          <w:rFonts w:ascii="Calibri" w:eastAsia="Calibri" w:hAnsi="Calibri" w:cs="Times New Roman"/>
        </w:rPr>
      </w:pPr>
      <w:r w:rsidRPr="00E16DE0">
        <w:rPr>
          <w:rFonts w:ascii="Times New Roman" w:eastAsia="Calibri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229"/>
        <w:gridCol w:w="908"/>
        <w:gridCol w:w="1758"/>
        <w:gridCol w:w="1823"/>
        <w:gridCol w:w="1974"/>
      </w:tblGrid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Всероссийский урок, посвящённый году науки и технологий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закономерности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химических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 безопасности. «Режим питания. Витамины. Их роль для растущего организма»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Тематический</w:t>
            </w:r>
            <w:r w:rsidRPr="00E16D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урок, </w:t>
            </w: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посвященный Дню Государственного герба и Государственного флага Республики Крым</w:t>
            </w: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VII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здоровья и пропаганды ЗОЖ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Урок, посвящённый Дню борьбы со СПИДом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VI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Сера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её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посвященный Дню Республики Крым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V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посвященный Всемирному дню гражданской обороны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«День воссоединения Крыма с Россией»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IV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урок, посвящённый Дню Российской науки</w:t>
            </w: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Общие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Гагаринский урок «Космос - это мы»</w:t>
            </w:r>
          </w:p>
          <w:p w:rsidR="00E16DE0" w:rsidRPr="00E16DE0" w:rsidRDefault="00E16DE0" w:rsidP="00E16D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</w:t>
            </w:r>
            <w:proofErr w:type="spellEnd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Урок Памяти. 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гг</w:t>
            </w:r>
            <w:proofErr w:type="spellEnd"/>
          </w:p>
          <w:p w:rsidR="00E16DE0" w:rsidRPr="00E16DE0" w:rsidRDefault="00E16DE0" w:rsidP="00E16DE0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6D1503" w:rsidTr="00975D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4.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E16DE0" w:rsidRPr="006D1503" w:rsidTr="00E16DE0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Тематический</w:t>
            </w:r>
            <w:r w:rsidRPr="00E16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урок, посвящённый Всемирному дню без табака</w:t>
            </w: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  <w:tr w:rsidR="00E16DE0" w:rsidRPr="00E16DE0" w:rsidTr="00E16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16D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E16DE0" w:rsidRPr="00E16DE0" w:rsidRDefault="00E16DE0" w:rsidP="00E16DE0">
            <w:pPr>
              <w:rPr>
                <w:rFonts w:ascii="Calibri" w:eastAsia="Calibri" w:hAnsi="Calibri" w:cs="Times New Roman"/>
              </w:rPr>
            </w:pPr>
          </w:p>
        </w:tc>
      </w:tr>
    </w:tbl>
    <w:p w:rsidR="00E16DE0" w:rsidRPr="00E16DE0" w:rsidRDefault="00E16DE0" w:rsidP="00E16DE0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bookmarkStart w:id="1" w:name="block-6471159"/>
      <w:r w:rsidRPr="00E16DE0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t xml:space="preserve">Учебно-методическое и материально-техническое обеспечение образовательного процесса 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567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у д з и т и с Г. Е. Химия: 8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.: учеб. для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обшеобразоват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учреждений / Г. Е. Рудзитис, Ф. Г. Фельдман. — М.: Просве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щение,2014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Химия: 8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.: электронное приложение к учебнику.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Н. Химия. Рабочие программы. Предметная линия учебников Г. Е. Рудзитиса, Ф. Г. Фельдмана. </w:t>
      </w:r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8—9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клас</w:t>
      </w:r>
      <w:r w:rsidRPr="00E16DE0">
        <w:rPr>
          <w:rFonts w:ascii="Times New Roman" w:eastAsia="Times New Roman" w:hAnsi="Times New Roman" w:cs="Times New Roman"/>
          <w:sz w:val="28"/>
          <w:szCs w:val="28"/>
        </w:rPr>
        <w:softHyphen/>
        <w:t>сы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. — М.: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И. Химия: рабочая тетрадь: 8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И.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567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 </w:t>
      </w:r>
      <w:proofErr w:type="gram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Н. Н. Химия: задачник с «помощником»: 8—9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Н. И.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д е ц к и й А. М. Химия: дидактический материал: 8—9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А. М.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Радецкий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Н. Химия. Уроки: 8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Библиотека электронных наглядных пособий. Химия 8-11 классы. – ГУ РЦ ЭМТО «Кирилл и Мефодий», 2003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Мультимедийное учебное пособие нового образца.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Химия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 xml:space="preserve">, 8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класс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 xml:space="preserve"> – М.: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Просвещение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>, 2004.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Образовательная коллекция. «Химия для всех-</w:t>
      </w:r>
      <w:r w:rsidRPr="00E16DE0">
        <w:rPr>
          <w:rFonts w:ascii="Times New Roman" w:eastAsia="Calibri" w:hAnsi="Times New Roman" w:cs="Times New Roman"/>
          <w:sz w:val="28"/>
          <w:szCs w:val="28"/>
        </w:rPr>
        <w:t>XXI</w:t>
      </w: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Решение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задач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>» - ЗАО «1С», 2004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Учебное электронное издание. Химия (8-11 классы). Виртуальная лаборатория. – Лаборатория систем мультимедиа,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МарГТУ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, 2004</w:t>
      </w:r>
    </w:p>
    <w:p w:rsidR="00E16DE0" w:rsidRPr="00E16DE0" w:rsidRDefault="006D1503" w:rsidP="00E16DE0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5" w:history="1"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http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://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files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.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school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-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collection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edu</w:t>
        </w:r>
        <w:proofErr w:type="spellEnd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ru</w:t>
        </w:r>
        <w:proofErr w:type="spellEnd"/>
      </w:hyperlink>
      <w:r w:rsidR="00E16DE0"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</w:p>
    <w:p w:rsidR="00E16DE0" w:rsidRPr="00E16DE0" w:rsidRDefault="006D1503" w:rsidP="00E16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hyperlink r:id="rId6" w:history="1"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http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://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festival</w:t>
        </w:r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.1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september</w:t>
        </w:r>
        <w:proofErr w:type="spellEnd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ru</w:t>
        </w:r>
        <w:proofErr w:type="spellEnd"/>
      </w:hyperlink>
      <w:r w:rsidR="00E16DE0" w:rsidRPr="00E16DE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right="3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у д з и т и с Г. Е. Химия: 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.: учеб. для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обшеобразоват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учреждений / Г. Е. Рудзитис, Ф. Г. Фельдман. — М.: Просве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щение,2014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426"/>
        </w:tabs>
        <w:spacing w:after="0" w:line="230" w:lineRule="exact"/>
        <w:ind w:right="3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Химия: 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.: электронное приложение к учебнику.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426"/>
        </w:tabs>
        <w:spacing w:after="0" w:line="230" w:lineRule="exact"/>
        <w:ind w:right="3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Н. Химия. Рабочие программы. Предметная линия учебников Г. Е. Рудзитиса, Ф. Г. Фельдмана. 8—9 клас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сы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</w:t>
      </w:r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И. Химия: рабочая тетрадь: 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И.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 </w:t>
      </w:r>
      <w:proofErr w:type="gram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Н. Н. Химия: задачник с «помощником»: 8—9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Н. И.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Габрусева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426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д е ц к и й А. М. Химия: дидактический материал: 8—9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А. М.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Радецкий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widowControl w:val="0"/>
        <w:numPr>
          <w:ilvl w:val="0"/>
          <w:numId w:val="6"/>
        </w:numPr>
        <w:tabs>
          <w:tab w:val="left" w:pos="426"/>
          <w:tab w:val="left" w:pos="1134"/>
        </w:tabs>
        <w:spacing w:after="0" w:line="230" w:lineRule="exact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16DE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Н. Н. Химия. Уроки: 9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/ Н. Н.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Гара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— М.: Просвещение.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Библиотека электронных наглядных пособий. Химия 8-11 классы. – ГУ РЦ ЭМТО «Кирилл и Мефодий», 2003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Образовательная коллекция. «Химия для всех-</w:t>
      </w:r>
      <w:r w:rsidRPr="00E16DE0">
        <w:rPr>
          <w:rFonts w:ascii="Times New Roman" w:eastAsia="Calibri" w:hAnsi="Times New Roman" w:cs="Times New Roman"/>
          <w:sz w:val="28"/>
          <w:szCs w:val="28"/>
        </w:rPr>
        <w:t>XXI</w:t>
      </w: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Решение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</w:rPr>
        <w:t>задач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</w:rPr>
        <w:t>» - ЗАО «1С», 2004</w:t>
      </w:r>
    </w:p>
    <w:p w:rsidR="00E16DE0" w:rsidRPr="00E16DE0" w:rsidRDefault="00E16DE0" w:rsidP="00E16DE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Учебное электронное издание. Химия (8-11 классы). Виртуальная лаборатория. – Лаборатория систем мультимедиа, </w:t>
      </w:r>
      <w:proofErr w:type="spellStart"/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МарГТУ</w:t>
      </w:r>
      <w:proofErr w:type="spellEnd"/>
      <w:r w:rsidRPr="00E16DE0">
        <w:rPr>
          <w:rFonts w:ascii="Times New Roman" w:eastAsia="Calibri" w:hAnsi="Times New Roman" w:cs="Times New Roman"/>
          <w:sz w:val="28"/>
          <w:szCs w:val="28"/>
          <w:lang w:val="ru-RU"/>
        </w:rPr>
        <w:t>, 2004</w:t>
      </w:r>
    </w:p>
    <w:p w:rsidR="00E16DE0" w:rsidRPr="00E16DE0" w:rsidRDefault="006D1503" w:rsidP="00E16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hyperlink r:id="rId7" w:history="1"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http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://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files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school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-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collection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edu</w:t>
        </w:r>
        <w:proofErr w:type="spellEnd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E16DE0" w:rsidRPr="00E16DE0" w:rsidRDefault="006D1503" w:rsidP="00E16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hyperlink r:id="rId8" w:history="1"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http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://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festival</w:t>
        </w:r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.1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september</w:t>
        </w:r>
        <w:proofErr w:type="spellEnd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E16DE0" w:rsidRPr="00E16DE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E16DE0" w:rsidRPr="00E16DE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E16DE0" w:rsidRPr="00E16DE0" w:rsidRDefault="00E16DE0" w:rsidP="00E16DE0">
      <w:pPr>
        <w:keepNext/>
        <w:keepLines/>
        <w:widowControl w:val="0"/>
        <w:spacing w:after="0"/>
        <w:ind w:right="2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2" w:name="bookmark26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Натуральные объекты</w:t>
      </w:r>
      <w:bookmarkEnd w:id="2"/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Натуральные объекты, используемые в 8—9 классах при обу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чении химии, включают в себя коллекции минералов и горных пород, металлов и сплавов, минеральных удобрений. Ознаком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ление с образцами исходных веществ и готовых изделий позво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ляет получить наглядные представления об этих материалах, их внешнем виде, а также о некоторых физических свойствах. Значительные учебно-познавательные возможности имеют кол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лекции, изготовленные самими обучающимися. Предметы для таких коллекций собираются во время экскурсий и других вне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урочных занятий.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Коллекции используют только для ознакомления обучаю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щихся с внешним видом и физическими свойствами различных веществ и материалов. Для проведения химических опытов кол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лекции использовать нельзя.</w:t>
      </w:r>
    </w:p>
    <w:p w:rsidR="00E16DE0" w:rsidRPr="00E16DE0" w:rsidRDefault="00E16DE0" w:rsidP="00E16DE0">
      <w:pPr>
        <w:keepNext/>
        <w:keepLines/>
        <w:widowControl w:val="0"/>
        <w:spacing w:after="0"/>
        <w:ind w:right="20" w:firstLine="70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3" w:name="bookmark27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Химические реактивы и материалы</w:t>
      </w:r>
      <w:bookmarkEnd w:id="3"/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Обращение со многими веществами требует строгого соблю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дения правил техники безопасности, особенно при выполнении опытов самими обучающимися. Все необходимые меры предо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сторожности указаны в соответствующих документах и инструк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циях, а также в пособиях для учителей химии.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Все реактивы и материалы, нужные для проведения демон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страционного 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 ученического эксперимента, поставляются в образовательные учреждения общего образования централизо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ванно в виде заранее скомплектованных наборов. При необхо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димости приобретения дополнительных реактивов и материалов следует обращаться в специализированные магазины.</w:t>
      </w:r>
    </w:p>
    <w:p w:rsidR="00E16DE0" w:rsidRPr="00E16DE0" w:rsidRDefault="00E16DE0" w:rsidP="00E16DE0">
      <w:pPr>
        <w:keepNext/>
        <w:keepLines/>
        <w:widowControl w:val="0"/>
        <w:spacing w:after="0"/>
        <w:ind w:right="20" w:firstLine="70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4" w:name="bookmark28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Химическая лабораторная посуда, аппараты и приборы</w:t>
      </w:r>
      <w:bookmarkEnd w:id="4"/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Химическая посуда подразделяется на две группы: для выпол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нения опытов обучающимися и для демонстрационных опытов.</w:t>
      </w:r>
    </w:p>
    <w:p w:rsidR="00E16DE0" w:rsidRPr="00E16DE0" w:rsidRDefault="00E16DE0" w:rsidP="00E16DE0">
      <w:pPr>
        <w:widowControl w:val="0"/>
        <w:tabs>
          <w:tab w:val="left" w:pos="1218"/>
        </w:tabs>
        <w:spacing w:after="0"/>
        <w:ind w:right="3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Приборы, аппараты и установки, используемые на уроках химии в 8—9 классах, классифицируют на основе протекающих в них физических и химических процессов с участием веществ, находящихся в разных агрегатных состояниях:</w:t>
      </w:r>
    </w:p>
    <w:p w:rsidR="00E16DE0" w:rsidRPr="00E16DE0" w:rsidRDefault="00E16DE0" w:rsidP="00E16DE0">
      <w:pPr>
        <w:widowControl w:val="0"/>
        <w:numPr>
          <w:ilvl w:val="0"/>
          <w:numId w:val="5"/>
        </w:numPr>
        <w:tabs>
          <w:tab w:val="left" w:pos="646"/>
        </w:tabs>
        <w:spacing w:before="150" w:after="0"/>
        <w:ind w:right="6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приборы для работы с газами — получение, собирание, очистка, сушка, поглощение газов; реакции между потоками газов; реакции между газами в электрическом разряде; реакции между газами при повышенном давлении;</w:t>
      </w:r>
    </w:p>
    <w:p w:rsidR="00E16DE0" w:rsidRPr="00E16DE0" w:rsidRDefault="00E16DE0" w:rsidP="00E16DE0">
      <w:pPr>
        <w:widowControl w:val="0"/>
        <w:numPr>
          <w:ilvl w:val="0"/>
          <w:numId w:val="5"/>
        </w:numPr>
        <w:tabs>
          <w:tab w:val="left" w:pos="622"/>
        </w:tabs>
        <w:spacing w:after="0"/>
        <w:ind w:right="6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аппараты и приборы для опытов с жидкими и твёрдыми веществами — перегонка, фильтрование, кристаллизация; про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ведение реакций между твердым веществом и жидкостью, жид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костью и жидкостью, твердыми веществами.</w:t>
      </w:r>
    </w:p>
    <w:p w:rsidR="00E16DE0" w:rsidRPr="00E16DE0" w:rsidRDefault="00E16DE0" w:rsidP="00E16DE0">
      <w:pPr>
        <w:widowControl w:val="0"/>
        <w:spacing w:after="0"/>
        <w:ind w:left="60" w:right="6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Вне этой классификации находится учебная аппаратура, пред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назначенная для изучения теоретических вопросов химии — для иллюстрации закона сохранения массы веществ, для демонстра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ции электропроводности растворов и движения ионов в элект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рическом поле, для изучения скорости химической реакции и химического равновесия.</w:t>
      </w:r>
    </w:p>
    <w:p w:rsidR="00E16DE0" w:rsidRPr="00E16DE0" w:rsidRDefault="00E16DE0" w:rsidP="00E16DE0">
      <w:pPr>
        <w:widowControl w:val="0"/>
        <w:spacing w:after="0"/>
        <w:ind w:left="60" w:right="6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Вспомогательную роль играют измерительные и нагреватель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ные приборы, различные приспособления для выполнения опы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тов.</w:t>
      </w:r>
    </w:p>
    <w:p w:rsidR="00E16DE0" w:rsidRPr="00E16DE0" w:rsidRDefault="00E16DE0" w:rsidP="00E16DE0">
      <w:pPr>
        <w:keepNext/>
        <w:keepLines/>
        <w:widowControl w:val="0"/>
        <w:spacing w:after="0"/>
        <w:ind w:left="2760" w:firstLine="700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5" w:name="bookmark29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 xml:space="preserve">            Модели</w:t>
      </w:r>
      <w:bookmarkEnd w:id="5"/>
    </w:p>
    <w:p w:rsidR="00E16DE0" w:rsidRPr="00E16DE0" w:rsidRDefault="00E16DE0" w:rsidP="00E16DE0">
      <w:pPr>
        <w:widowControl w:val="0"/>
        <w:spacing w:after="0"/>
        <w:ind w:left="60" w:right="6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Объектами моделирования в химии являются атомы, моле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кулы, кристаллы, заводские аппараты, а также происходящие процессы. В преподавании химии используют модели кри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сталлических решёток алмаза, графита, серы, фосфора, оксида углерода(</w:t>
      </w:r>
      <w:r w:rsidRPr="00E16DE0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иода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железа, меди, магния. Промышленностью выпускаются наборы моделей атомов для составления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шаро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стержневых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моделей молекул.</w:t>
      </w:r>
    </w:p>
    <w:p w:rsidR="00E16DE0" w:rsidRPr="00E16DE0" w:rsidRDefault="00E16DE0" w:rsidP="00E16DE0">
      <w:pPr>
        <w:keepNext/>
        <w:keepLines/>
        <w:widowControl w:val="0"/>
        <w:spacing w:after="0"/>
        <w:ind w:left="760" w:firstLine="700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6" w:name="bookmark30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 xml:space="preserve">                       Учебные пособия на печатной основе</w:t>
      </w:r>
      <w:bookmarkEnd w:id="6"/>
    </w:p>
    <w:p w:rsidR="00E16DE0" w:rsidRPr="00E16DE0" w:rsidRDefault="00E16DE0" w:rsidP="00E16DE0">
      <w:pPr>
        <w:widowControl w:val="0"/>
        <w:spacing w:after="0"/>
        <w:ind w:left="60" w:right="6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 процессе обучения химии используют следующие таблицы постоянного экспонирования: «Периодическая система химиче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ских элементов Д. И. Менделеева», «Таблица растворимости кис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лот, оснований и солей», «Электрохимическ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 ряд напряжений металлов»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16DE0" w:rsidRPr="00E16DE0" w:rsidRDefault="00E16DE0" w:rsidP="00E16DE0">
      <w:pPr>
        <w:widowControl w:val="0"/>
        <w:spacing w:after="0"/>
        <w:ind w:left="60" w:right="6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организации самостоятельной работы обучающихся на уроках 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используют разнообразные дидактические материалы: тетради на печатной основе или отдельные рабочие листы — инструкции, карточки с заданиями разной степени трудности для изучения нового материала, самопроверки и контроля знаний.</w:t>
      </w:r>
    </w:p>
    <w:p w:rsidR="00E16DE0" w:rsidRPr="00E16DE0" w:rsidRDefault="00E16DE0" w:rsidP="00E16DE0">
      <w:pPr>
        <w:keepNext/>
        <w:keepLines/>
        <w:widowControl w:val="0"/>
        <w:spacing w:after="0"/>
        <w:ind w:firstLine="70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7" w:name="bookmark31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Экранно-звуковые средства обучения</w:t>
      </w:r>
      <w:bookmarkEnd w:id="7"/>
    </w:p>
    <w:p w:rsidR="00E16DE0" w:rsidRPr="00E16DE0" w:rsidRDefault="00E16DE0" w:rsidP="00E16DE0">
      <w:pPr>
        <w:widowControl w:val="0"/>
        <w:spacing w:before="90" w:after="0"/>
        <w:ind w:right="44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 экранно-звуковым средствам обучения относят такие посо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бия, которые могут быть восприняты с помощью зрения и слу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ха. Это кинофильмы, кинофрагменты, диафильмы, диапозитивы(слайды), единичные транспаранты для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графопроектора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 Серии транспарантов позволяют имитировать движение путём последо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вательного наложения одного транспаранта на другой.</w:t>
      </w:r>
    </w:p>
    <w:p w:rsidR="00E16DE0" w:rsidRPr="00E16DE0" w:rsidRDefault="00E16DE0" w:rsidP="00E16DE0">
      <w:pPr>
        <w:keepNext/>
        <w:keepLines/>
        <w:widowControl w:val="0"/>
        <w:spacing w:after="0"/>
        <w:ind w:right="240" w:firstLine="70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8" w:name="bookmark32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Технические средства обучения (ТСО)</w:t>
      </w:r>
      <w:bookmarkEnd w:id="8"/>
    </w:p>
    <w:p w:rsidR="00E16DE0" w:rsidRPr="00E16DE0" w:rsidRDefault="00E16DE0" w:rsidP="00E16DE0">
      <w:pPr>
        <w:widowControl w:val="0"/>
        <w:spacing w:after="0"/>
        <w:ind w:right="44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Большинство из технических средств обучения не разрабаты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валось специально для школы, а изначально служило для пере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дачи и обработки информации: это различного рода проекторы, телевизоры, компьютеры и т. д. В учебно-воспитательном про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цессе компьютер может использоваться для решения задач науч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ной организации труда учителя.</w:t>
      </w:r>
    </w:p>
    <w:p w:rsidR="00E16DE0" w:rsidRPr="00E16DE0" w:rsidRDefault="00E16DE0" w:rsidP="00E16DE0">
      <w:pPr>
        <w:widowControl w:val="0"/>
        <w:spacing w:after="0"/>
        <w:ind w:right="44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При использовании технических средств обучения следует учитывать временные ограничения, налагаемые Санитарными правилами и нормами (СанПиН). Непрерывная продолжитель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ность демонстрации видеоматериалов на телевизионном экране и на большом экране с использованием мультимедийного про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ектора не должна превышать 25 мин. Такое же ограничение (не более 25 мин) распространяется на непрерывное использование интерактивной доски и на непрерывную работу обучающихся на персональном компьютере. Число уроков с использованием таких технических средств обучения, как телевизор, мультиме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дийный проектор, интерактивная доска, должно быть не более шести в неделю, а число уроков, когда обучающиеся работают на персональном компьютере, — не более трёх в неделю.</w:t>
      </w:r>
    </w:p>
    <w:p w:rsidR="00E16DE0" w:rsidRPr="00E16DE0" w:rsidRDefault="00E16DE0" w:rsidP="00E16DE0">
      <w:pPr>
        <w:keepNext/>
        <w:keepLines/>
        <w:widowControl w:val="0"/>
        <w:spacing w:after="0"/>
        <w:ind w:right="240" w:firstLine="700"/>
        <w:jc w:val="center"/>
        <w:outlineLvl w:val="3"/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</w:pPr>
      <w:bookmarkStart w:id="9" w:name="bookmark33"/>
      <w:r w:rsidRPr="00E16DE0">
        <w:rPr>
          <w:rFonts w:ascii="Times New Roman" w:eastAsia="MS Reference Sans Serif" w:hAnsi="Times New Roman" w:cs="Times New Roman"/>
          <w:b/>
          <w:sz w:val="28"/>
          <w:szCs w:val="28"/>
          <w:lang w:val="ru-RU"/>
        </w:rPr>
        <w:t>Оборудование кабинета химии</w:t>
      </w:r>
      <w:bookmarkEnd w:id="9"/>
    </w:p>
    <w:p w:rsidR="00E16DE0" w:rsidRPr="00E16DE0" w:rsidRDefault="00E16DE0" w:rsidP="00E16DE0">
      <w:pPr>
        <w:widowControl w:val="0"/>
        <w:spacing w:after="0"/>
        <w:ind w:right="44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 химии должен быть оборудован специальным демон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страционным столом. Для обеспечения лучшей видимости демонстрационный стол рекомендуется устанавливать на подиум.</w:t>
      </w:r>
    </w:p>
    <w:p w:rsidR="00E16DE0" w:rsidRPr="00E16DE0" w:rsidRDefault="00E16DE0" w:rsidP="00E16DE0">
      <w:pPr>
        <w:widowControl w:val="0"/>
        <w:spacing w:after="0"/>
        <w:ind w:right="44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 кабинетах химии устанавливают двухместные ученические лабораторные столы с подводкой электроэнергии. Ученические столы должны иметь покрытие, устойчивое к действию агрес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сивных химических веществ, и защитные бортики по наружному краю. Кабинеты химии оборудуют вытяжными шкафами, распо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ложенными у наружной стены возле стола учителя. Для прове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дения лабораторных опытов используют 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только мини-спиртовки.</w:t>
      </w:r>
    </w:p>
    <w:p w:rsidR="00E16DE0" w:rsidRPr="00E16DE0" w:rsidRDefault="00E16DE0" w:rsidP="00E16DE0">
      <w:pPr>
        <w:widowControl w:val="0"/>
        <w:spacing w:after="0"/>
        <w:ind w:right="44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ми. иметь темно-зелёный цвет и антибликовое покрытие. Учеб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ные доски оборудуют софитами, которые должны прикрепляться к стене на </w:t>
      </w:r>
      <w:smartTag w:uri="urn:schemas-microsoft-com:office:smarttags" w:element="metricconverter">
        <w:smartTagPr>
          <w:attr w:name="ProductID" w:val="0,3 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0,3 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выше верхнего края доски и выступать вперёд на расстояние </w:t>
      </w:r>
      <w:smartTag w:uri="urn:schemas-microsoft-com:office:smarttags" w:element="metricconverter">
        <w:smartTagPr>
          <w:attr w:name="ProductID" w:val="0,6 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0,6 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Телевизоры устанавливают на специальных тумбах на высоте 1,0—1,3 м от пола. При просмотре телепередач зрительские места должны располагаться на расстоянии не менее </w:t>
      </w:r>
      <w:smartTag w:uri="urn:schemas-microsoft-com:office:smarttags" w:element="metricconverter">
        <w:smartTagPr>
          <w:attr w:name="ProductID" w:val="2 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2 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экрана до глаз обучающихся.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Для максимального использования дневного света и равно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мерного освещения учебных помещений не следует размещать на подоконниках широколистные растения, снижающие уровень естественного освещения. Высота растений не должна превы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шать </w:t>
      </w:r>
      <w:smartTag w:uri="urn:schemas-microsoft-com:office:smarttags" w:element="metricconverter">
        <w:smartTagPr>
          <w:attr w:name="ProductID" w:val="15 с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15 см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 подоконника). Растения целесообразно размещать в переносных цветочницах высотой 65—70 см от пола или под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весных кашпо в простенках между окнами.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Для отделки учебных помещений используют материалы и краски, создающие матовую поверхность. Для стен учебных помещений следует использовать светлые тона жёлтого, беже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вого, розового, зелёного, голубого цветов; для дверей, оконных рам — белый цвет.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 химии должен быть оснащён холодным и горячим водоснабжением и канализацией.</w:t>
      </w:r>
    </w:p>
    <w:p w:rsidR="00E16DE0" w:rsidRPr="00E16DE0" w:rsidRDefault="00E16DE0" w:rsidP="00E16DE0">
      <w:pPr>
        <w:widowControl w:val="0"/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В кабинете химии обязательно должна быть аптечка, в кото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рую входят: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11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Жгут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кровоостанавливающий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резиновый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54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Пузырь для льда — 1 шт. (гипотермический пакет — 1 шт.).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69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Бинт стерильный, широкий 7 х </w:t>
      </w:r>
      <w:smartTag w:uri="urn:schemas-microsoft-com:office:smarttags" w:element="metricconverter">
        <w:smartTagPr>
          <w:attr w:name="ProductID" w:val="14 с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14 см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2 шт.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78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Бинт стерильный 3 х </w:t>
      </w:r>
      <w:smartTag w:uri="urn:schemas-microsoft-com:office:smarttags" w:element="metricconverter">
        <w:smartTagPr>
          <w:attr w:name="ProductID" w:val="5 с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 см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2 шт.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69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Бинт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нестерильный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59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Салфетки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стерильные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2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54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Вата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стерильная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пачка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38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Лейкопластырь шириной </w:t>
      </w:r>
      <w:smartTag w:uri="urn:schemas-microsoft-com:office:smarttags" w:element="metricconverter">
        <w:smartTagPr>
          <w:attr w:name="ProductID" w:val="2 с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2 см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1 катушка, </w:t>
      </w:r>
      <w:smartTag w:uri="urn:schemas-microsoft-com:office:smarttags" w:element="metricconverter">
        <w:smartTagPr>
          <w:attr w:name="ProductID" w:val="5 см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5 см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1 катушка.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569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Бактерицидный лейкопластырь разных размеров — 20 шт.</w:t>
      </w:r>
    </w:p>
    <w:p w:rsidR="00E16DE0" w:rsidRPr="00E16DE0" w:rsidRDefault="00E16DE0" w:rsidP="00E16DE0">
      <w:pPr>
        <w:widowControl w:val="0"/>
        <w:numPr>
          <w:ilvl w:val="0"/>
          <w:numId w:val="2"/>
        </w:numPr>
        <w:tabs>
          <w:tab w:val="left" w:pos="636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Спиртовой раствор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иода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5%-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1 флакон.</w:t>
      </w:r>
    </w:p>
    <w:p w:rsidR="00E16DE0" w:rsidRPr="00E16DE0" w:rsidRDefault="00E16DE0" w:rsidP="00E16DE0">
      <w:pPr>
        <w:widowControl w:val="0"/>
        <w:tabs>
          <w:tab w:val="left" w:pos="144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11. 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Водный раствор аммиака (нашатырный спирт) в ампулах— 1</w:t>
      </w:r>
    </w:p>
    <w:p w:rsidR="00E16DE0" w:rsidRPr="00E16DE0" w:rsidRDefault="00E16DE0" w:rsidP="00E16DE0">
      <w:pPr>
        <w:widowControl w:val="0"/>
        <w:numPr>
          <w:ilvl w:val="0"/>
          <w:numId w:val="3"/>
        </w:numPr>
        <w:tabs>
          <w:tab w:val="left" w:pos="641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Раствор пероксида водорода 3%-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уп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3"/>
        </w:numPr>
        <w:tabs>
          <w:tab w:val="left" w:pos="641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Перманганат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калия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кристаллический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3"/>
        </w:numPr>
        <w:tabs>
          <w:tab w:val="left" w:pos="622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Анальгин </w:t>
      </w:r>
      <w:smartTag w:uri="urn:schemas-microsoft-com:office:smarttags" w:element="metricconverter">
        <w:smartTagPr>
          <w:attr w:name="ProductID" w:val="0.5 г"/>
        </w:smartTagPr>
        <w:r w:rsidRPr="00E16D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0.5 г</w:t>
        </w:r>
      </w:smartTag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таблетках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уп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16DE0" w:rsidRPr="00E16DE0" w:rsidRDefault="00E16DE0" w:rsidP="00E16DE0">
      <w:pPr>
        <w:widowControl w:val="0"/>
        <w:numPr>
          <w:ilvl w:val="0"/>
          <w:numId w:val="3"/>
        </w:numPr>
        <w:tabs>
          <w:tab w:val="left" w:pos="641"/>
        </w:tabs>
        <w:spacing w:after="0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Настойка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валерианы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уп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6DE0" w:rsidRPr="00E16DE0" w:rsidRDefault="00E16DE0" w:rsidP="00E16DE0">
      <w:pPr>
        <w:widowControl w:val="0"/>
        <w:spacing w:after="0"/>
        <w:ind w:right="440" w:firstLine="700"/>
        <w:jc w:val="both"/>
        <w:rPr>
          <w:rFonts w:ascii="Times New Roman" w:eastAsia="Times New Roman" w:hAnsi="Times New Roman" w:cs="Times New Roman"/>
        </w:rPr>
      </w:pPr>
      <w:r w:rsidRPr="00E16DE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E16DE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16DE0">
        <w:rPr>
          <w:rFonts w:ascii="Times New Roman" w:eastAsia="Times New Roman" w:hAnsi="Times New Roman" w:cs="Times New Roman"/>
          <w:sz w:val="28"/>
          <w:szCs w:val="28"/>
        </w:rPr>
        <w:t>Ножницы</w:t>
      </w:r>
      <w:proofErr w:type="spellEnd"/>
      <w:r w:rsidRPr="00E16DE0">
        <w:rPr>
          <w:rFonts w:ascii="Times New Roman" w:eastAsia="Times New Roman" w:hAnsi="Times New Roman" w:cs="Times New Roman"/>
          <w:sz w:val="28"/>
          <w:szCs w:val="28"/>
        </w:rPr>
        <w:t xml:space="preserve"> — 1 ш</w:t>
      </w:r>
      <w:r w:rsidRPr="00E16DE0">
        <w:rPr>
          <w:rFonts w:ascii="Times New Roman" w:eastAsia="Times New Roman" w:hAnsi="Times New Roman" w:cs="Times New Roman"/>
          <w:sz w:val="28"/>
          <w:szCs w:val="28"/>
          <w:lang w:val="ru-RU"/>
        </w:rPr>
        <w:t>т.</w:t>
      </w:r>
      <w:bookmarkEnd w:id="1"/>
    </w:p>
    <w:sectPr w:rsidR="00E16DE0" w:rsidRPr="00E1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4328"/>
    <w:multiLevelType w:val="multilevel"/>
    <w:tmpl w:val="01FA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57DB0"/>
    <w:multiLevelType w:val="multilevel"/>
    <w:tmpl w:val="A38E2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9A1B9E"/>
    <w:multiLevelType w:val="hybridMultilevel"/>
    <w:tmpl w:val="149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E6D93"/>
    <w:multiLevelType w:val="hybridMultilevel"/>
    <w:tmpl w:val="8C344530"/>
    <w:lvl w:ilvl="0" w:tplc="314EC2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4B443797"/>
    <w:multiLevelType w:val="multilevel"/>
    <w:tmpl w:val="9F9CBB1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433FD"/>
    <w:multiLevelType w:val="hybridMultilevel"/>
    <w:tmpl w:val="A6AA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E0"/>
    <w:rsid w:val="0051290A"/>
    <w:rsid w:val="006D1503"/>
    <w:rsid w:val="00E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851FA6"/>
  <w15:chartTrackingRefBased/>
  <w15:docId w15:val="{E7B7373C-A0D1-44DF-81FA-62271DA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E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" TargetMode="External"/><Relationship Id="rId5" Type="http://schemas.openxmlformats.org/officeDocument/2006/relationships/hyperlink" Target="http://files.school-collection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2023-10-09T14:36:00Z</dcterms:created>
  <dcterms:modified xsi:type="dcterms:W3CDTF">2023-10-09T15:09:00Z</dcterms:modified>
</cp:coreProperties>
</file>