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099" w:tblpY="18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8505"/>
      </w:tblGrid>
      <w:tr w14:paraId="4E89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E420B0">
            <w:pPr>
              <w:jc w:val="center"/>
              <w:rPr>
                <w:rFonts w:eastAsia="Times New Roman"/>
                <w:b/>
                <w:bCs/>
              </w:rPr>
            </w:pPr>
            <w:bookmarkStart w:id="0" w:name="_Hlk100739710"/>
          </w:p>
          <w:p w14:paraId="1D0B067A">
            <w:pPr>
              <w:jc w:val="center"/>
              <w:rPr>
                <w:rFonts w:eastAsia="Times New Roman"/>
                <w:b/>
                <w:bCs/>
              </w:rPr>
            </w:pPr>
          </w:p>
          <w:p w14:paraId="520335B6">
            <w:pPr>
              <w:jc w:val="center"/>
              <w:rPr>
                <w:rFonts w:eastAsia="Times New Roman"/>
                <w:b/>
                <w:bCs/>
              </w:rPr>
            </w:pPr>
          </w:p>
          <w:p w14:paraId="204B52B9">
            <w:pPr>
              <w:jc w:val="center"/>
              <w:rPr>
                <w:rFonts w:eastAsia="Times New Roman"/>
                <w:b/>
                <w:bCs/>
              </w:rPr>
            </w:pPr>
          </w:p>
          <w:p w14:paraId="15503CB7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thinThickSmallGap" w:color="auto" w:sz="24" w:space="0"/>
              <w:right w:val="nil"/>
            </w:tcBorders>
            <w:noWrap w:val="0"/>
            <w:vAlign w:val="top"/>
          </w:tcPr>
          <w:p w14:paraId="5526D6C3">
            <w:pPr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3A37E6BD">
            <w:pPr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38228BBC">
            <w:pPr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bookmarkStart w:id="1" w:name="_Hlk100732517"/>
            <w:r>
              <w:rPr>
                <w:rFonts w:eastAsia="Times New Roman"/>
                <w:sz w:val="26"/>
                <w:szCs w:val="26"/>
              </w:rPr>
              <w:t>Муниципальное бюджетное дошкольное образовательное учреждение</w:t>
            </w:r>
          </w:p>
          <w:p w14:paraId="2D4A8FF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ascii="Calibri" w:hAnsi="Calibri" w:eastAsia="Times New Roman"/>
                <w:b/>
                <w:sz w:val="26"/>
                <w:szCs w:val="26"/>
              </w:rPr>
              <w:t>"</w:t>
            </w:r>
            <w:r>
              <w:rPr>
                <w:rFonts w:eastAsia="Times New Roman"/>
                <w:b/>
                <w:sz w:val="26"/>
                <w:szCs w:val="26"/>
              </w:rPr>
              <w:t xml:space="preserve">Детский сад комбинированного вида № 47 </w:t>
            </w:r>
            <w:r>
              <w:rPr>
                <w:rFonts w:ascii="Calibri" w:hAnsi="Calibri" w:eastAsia="Times New Roman"/>
                <w:b/>
                <w:sz w:val="26"/>
                <w:szCs w:val="26"/>
              </w:rPr>
              <w:t>"</w:t>
            </w:r>
            <w:r>
              <w:rPr>
                <w:rFonts w:eastAsia="Times New Roman"/>
                <w:b/>
                <w:sz w:val="26"/>
                <w:szCs w:val="26"/>
              </w:rPr>
              <w:t>Вишенка</w:t>
            </w:r>
            <w:r>
              <w:rPr>
                <w:rFonts w:ascii="Calibri" w:hAnsi="Calibri" w:eastAsia="Times New Roman"/>
                <w:b/>
                <w:sz w:val="26"/>
                <w:szCs w:val="26"/>
              </w:rPr>
              <w:t>"</w:t>
            </w:r>
          </w:p>
          <w:p w14:paraId="5781CB4A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муниципального образования городской округ Симферополь Республики Крым</w:t>
            </w:r>
          </w:p>
          <w:p w14:paraId="639960D4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14:paraId="3964E75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2950</w:t>
            </w:r>
            <w:r>
              <w:rPr>
                <w:rFonts w:eastAsia="Times New Roman"/>
                <w:sz w:val="20"/>
                <w:lang w:val="uk-UA"/>
              </w:rPr>
              <w:t xml:space="preserve">24, </w:t>
            </w:r>
            <w:r>
              <w:rPr>
                <w:rFonts w:eastAsia="Times New Roman"/>
                <w:sz w:val="20"/>
              </w:rPr>
              <w:t xml:space="preserve">Республика Крым, Г.О. , </w:t>
            </w:r>
            <w:r>
              <w:rPr>
                <w:rFonts w:eastAsia="Times New Roman"/>
                <w:sz w:val="20"/>
                <w:lang w:val="uk-UA"/>
              </w:rPr>
              <w:t xml:space="preserve">город </w:t>
            </w:r>
            <w:r>
              <w:rPr>
                <w:rFonts w:eastAsia="Times New Roman"/>
                <w:sz w:val="20"/>
              </w:rPr>
              <w:t>Симферополь</w:t>
            </w:r>
            <w:r>
              <w:rPr>
                <w:rFonts w:eastAsia="Times New Roman"/>
                <w:sz w:val="20"/>
                <w:lang w:val="uk-UA"/>
              </w:rPr>
              <w:t xml:space="preserve">, </w:t>
            </w:r>
            <w:r>
              <w:rPr>
                <w:rFonts w:eastAsia="Times New Roman"/>
                <w:sz w:val="20"/>
              </w:rPr>
              <w:t xml:space="preserve">улица 60 лет Октября, здание 23А, </w:t>
            </w:r>
          </w:p>
          <w:p w14:paraId="3589C90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(30652) 44-82-04, (30652) 44-81-92</w:t>
            </w:r>
          </w:p>
          <w:p w14:paraId="50CB13E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bookmarkEnd w:id="1"/>
            <w:r>
              <w:rPr>
                <w:sz w:val="22"/>
                <w:szCs w:val="22"/>
                <w:lang w:val="en-US"/>
              </w:rPr>
              <w:t>sadik_vishenka@crimeaedu.ru</w:t>
            </w:r>
          </w:p>
        </w:tc>
      </w:tr>
      <w:bookmarkEnd w:id="0"/>
    </w:tbl>
    <w:p w14:paraId="5EBE5B9C">
      <w:pPr>
        <w:pStyle w:val="6"/>
        <w:ind w:left="0"/>
        <w:rPr>
          <w:sz w:val="24"/>
        </w:rPr>
      </w:pPr>
    </w:p>
    <w:p w14:paraId="2CE84E59">
      <w:pPr>
        <w:pStyle w:val="6"/>
        <w:ind w:left="0"/>
        <w:rPr>
          <w:sz w:val="24"/>
        </w:rPr>
      </w:pPr>
    </w:p>
    <w:p w14:paraId="3536A0CF">
      <w:pPr>
        <w:pStyle w:val="6"/>
        <w:ind w:left="0"/>
        <w:rPr>
          <w:sz w:val="24"/>
        </w:rPr>
      </w:pPr>
    </w:p>
    <w:p w14:paraId="09FD0BAE">
      <w:pPr>
        <w:pStyle w:val="6"/>
        <w:ind w:left="0"/>
        <w:rPr>
          <w:sz w:val="24"/>
        </w:rPr>
      </w:pPr>
    </w:p>
    <w:p w14:paraId="328DD26A">
      <w:pPr>
        <w:pStyle w:val="6"/>
        <w:ind w:left="0"/>
        <w:rPr>
          <w:sz w:val="24"/>
        </w:rPr>
      </w:pPr>
    </w:p>
    <w:p w14:paraId="11BADBC2">
      <w:pPr>
        <w:pStyle w:val="6"/>
        <w:ind w:left="0"/>
        <w:rPr>
          <w:sz w:val="24"/>
        </w:rPr>
      </w:pPr>
    </w:p>
    <w:p w14:paraId="33888AA5">
      <w:pPr>
        <w:pStyle w:val="6"/>
        <w:ind w:left="0"/>
        <w:rPr>
          <w:sz w:val="24"/>
        </w:rPr>
      </w:pPr>
    </w:p>
    <w:p w14:paraId="159A42A5">
      <w:pPr>
        <w:pStyle w:val="6"/>
        <w:ind w:left="0"/>
        <w:rPr>
          <w:sz w:val="24"/>
        </w:rPr>
      </w:pPr>
    </w:p>
    <w:p w14:paraId="38318A37">
      <w:pPr>
        <w:pStyle w:val="6"/>
        <w:ind w:left="0"/>
        <w:rPr>
          <w:sz w:val="24"/>
        </w:rPr>
      </w:pPr>
    </w:p>
    <w:p w14:paraId="13E6331E">
      <w:pPr>
        <w:pStyle w:val="6"/>
        <w:ind w:left="0"/>
        <w:rPr>
          <w:sz w:val="24"/>
        </w:rPr>
      </w:pPr>
    </w:p>
    <w:p w14:paraId="1C7D6756">
      <w:pPr>
        <w:pStyle w:val="6"/>
        <w:spacing w:before="92"/>
        <w:ind w:left="0"/>
        <w:rPr>
          <w:sz w:val="24"/>
        </w:rPr>
      </w:pPr>
    </w:p>
    <w:p w14:paraId="75821D76">
      <w:pPr>
        <w:spacing w:before="1"/>
        <w:ind w:left="0" w:right="194" w:firstLine="0"/>
        <w:jc w:val="center"/>
        <w:rPr>
          <w:b/>
          <w:sz w:val="24"/>
        </w:rPr>
      </w:pPr>
    </w:p>
    <w:p w14:paraId="707B3E4E">
      <w:pPr>
        <w:spacing w:before="1"/>
        <w:ind w:left="0" w:right="194" w:firstLine="0"/>
        <w:jc w:val="center"/>
        <w:rPr>
          <w:b/>
          <w:sz w:val="24"/>
        </w:rPr>
      </w:pPr>
    </w:p>
    <w:p w14:paraId="751286BB">
      <w:pPr>
        <w:spacing w:before="1"/>
        <w:ind w:left="0" w:right="194" w:firstLine="0"/>
        <w:jc w:val="center"/>
        <w:rPr>
          <w:b/>
          <w:sz w:val="24"/>
        </w:rPr>
      </w:pPr>
    </w:p>
    <w:p w14:paraId="2909A02F">
      <w:pPr>
        <w:spacing w:before="1"/>
        <w:ind w:left="0" w:right="194" w:firstLine="0"/>
        <w:jc w:val="center"/>
        <w:rPr>
          <w:b/>
          <w:sz w:val="24"/>
        </w:rPr>
      </w:pPr>
    </w:p>
    <w:p w14:paraId="381F6118">
      <w:pPr>
        <w:spacing w:before="1"/>
        <w:ind w:left="0" w:right="194" w:firstLine="0"/>
        <w:jc w:val="center"/>
        <w:rPr>
          <w:b/>
          <w:sz w:val="24"/>
        </w:rPr>
      </w:pPr>
      <w:r>
        <w:rPr>
          <w:b/>
          <w:sz w:val="24"/>
        </w:rPr>
        <w:t>АНАЛИТИЧЕСКАЯ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СПРАВКА</w:t>
      </w:r>
    </w:p>
    <w:p w14:paraId="317DC4D0">
      <w:pPr>
        <w:spacing w:before="40"/>
        <w:ind w:left="524" w:right="711" w:firstLine="0"/>
        <w:jc w:val="center"/>
        <w:rPr>
          <w:b/>
          <w:sz w:val="24"/>
        </w:rPr>
      </w:pPr>
      <w:r>
        <w:rPr>
          <w:b/>
          <w:sz w:val="24"/>
        </w:rPr>
        <w:t>«РЕЗУЛЬТАТИВНОСТЬ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РЕАЛИЗАЦИИ</w:t>
      </w:r>
    </w:p>
    <w:p w14:paraId="0FE326B5">
      <w:pPr>
        <w:spacing w:before="41"/>
        <w:ind w:left="10" w:right="194" w:firstLine="0"/>
        <w:jc w:val="center"/>
        <w:rPr>
          <w:b/>
          <w:spacing w:val="-2"/>
          <w:sz w:val="24"/>
        </w:rPr>
      </w:pPr>
      <w:r>
        <w:rPr>
          <w:b/>
          <w:sz w:val="24"/>
        </w:rPr>
        <w:t>«ПРОГРАММЫ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</w:t>
      </w:r>
    </w:p>
    <w:p w14:paraId="577C4B67">
      <w:pPr>
        <w:spacing w:before="41"/>
        <w:ind w:left="10" w:right="194" w:firstLine="0"/>
        <w:jc w:val="center"/>
        <w:rPr>
          <w:rFonts w:hint="default" w:ascii="Times New Roman" w:hAnsi="Times New Roman" w:cs="Times New Roman"/>
          <w:b/>
          <w:sz w:val="24"/>
          <w:lang w:val="ru-RU"/>
        </w:rPr>
      </w:pPr>
      <w:r>
        <w:rPr>
          <w:b/>
          <w:sz w:val="24"/>
        </w:rPr>
        <w:t>МБДОУ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№4</w:t>
      </w:r>
      <w:r>
        <w:rPr>
          <w:rFonts w:hint="default"/>
          <w:b/>
          <w:spacing w:val="-5"/>
          <w:sz w:val="24"/>
          <w:lang w:val="ru-RU"/>
        </w:rPr>
        <w:t xml:space="preserve">7 </w:t>
      </w:r>
      <w:r>
        <w:rPr>
          <w:rFonts w:hint="default" w:ascii="Segoe UI" w:hAnsi="Segoe UI" w:cs="Segoe UI"/>
          <w:b/>
          <w:spacing w:val="-5"/>
          <w:sz w:val="24"/>
          <w:lang w:val="ru-RU"/>
        </w:rPr>
        <w:t>"</w:t>
      </w:r>
      <w:r>
        <w:rPr>
          <w:rFonts w:hint="default" w:ascii="Times New Roman" w:hAnsi="Times New Roman" w:cs="Times New Roman"/>
          <w:b/>
          <w:spacing w:val="-5"/>
          <w:sz w:val="24"/>
          <w:lang w:val="ru-RU"/>
        </w:rPr>
        <w:t>ВИШЕНКА" г. Симферополя</w:t>
      </w:r>
    </w:p>
    <w:p w14:paraId="10076D87">
      <w:pPr>
        <w:spacing w:before="41"/>
        <w:ind w:left="524" w:right="705" w:firstLine="0"/>
        <w:jc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за</w:t>
      </w:r>
      <w:r>
        <w:rPr>
          <w:rFonts w:hint="default" w:ascii="Times New Roman" w:hAnsi="Times New Roman" w:cs="Times New Roman"/>
          <w:b/>
          <w:spacing w:val="1"/>
          <w:sz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</w:rPr>
        <w:t>2024г.</w:t>
      </w:r>
    </w:p>
    <w:p w14:paraId="3379DADB">
      <w:pPr>
        <w:pStyle w:val="6"/>
        <w:ind w:left="0"/>
        <w:rPr>
          <w:b/>
          <w:sz w:val="24"/>
        </w:rPr>
      </w:pPr>
    </w:p>
    <w:p w14:paraId="6C28BB3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9" w:firstLineChars="78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3AF5429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Ценность Программы развития МБДОУ №4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5"/>
          <w:sz w:val="28"/>
          <w:szCs w:val="28"/>
          <w:lang w:val="ru-RU"/>
        </w:rPr>
        <w:t>"Вишенка"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г. Симферополя </w:t>
      </w:r>
      <w:r>
        <w:rPr>
          <w:rFonts w:hint="default" w:ascii="Times New Roman" w:hAnsi="Times New Roman" w:cs="Times New Roman"/>
          <w:sz w:val="28"/>
          <w:szCs w:val="28"/>
        </w:rPr>
        <w:t>в 2023-2024г. направлена на сохранение позитивных достижений детского сада, внедрение современных педагогических технологий, на успешную адаптацию ребенка в подвижном социуме, на личностно – ориентированную модель организации педагогического процесса, на развитие у ребенка социальных компетенций в условиях интеграции усилий ребенка и педагога, ребенка и родителей, педагога и родителей.</w:t>
      </w:r>
    </w:p>
    <w:p w14:paraId="29449CE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развития МБДОУ №4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5"/>
          <w:sz w:val="28"/>
          <w:szCs w:val="28"/>
          <w:lang w:val="ru-RU"/>
        </w:rPr>
        <w:t>"Вишенка"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г. Симферополя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 2024-2029 г. является управленческим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документом, который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является обязательным для исполнения всеми участниками образовательных отношений. 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современных условиях реформирования образования, МБДОУ </w:t>
      </w: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5"/>
          <w:sz w:val="28"/>
          <w:szCs w:val="28"/>
          <w:lang w:val="ru-RU"/>
        </w:rPr>
        <w:t xml:space="preserve">"Вишенка"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г. Симферополя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представляет собой открытую и развивающуюся систему. Основным результатом её жизнедеятельности должно стать успешное качество реализации ОП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ДО</w:t>
      </w:r>
      <w:r>
        <w:rPr>
          <w:rFonts w:hint="default" w:ascii="Times New Roman" w:hAnsi="Times New Roman" w:cs="Times New Roman"/>
          <w:sz w:val="28"/>
          <w:szCs w:val="28"/>
        </w:rPr>
        <w:t xml:space="preserve"> и АОП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ДО</w:t>
      </w:r>
      <w:r>
        <w:rPr>
          <w:rFonts w:hint="default" w:ascii="Times New Roman" w:hAnsi="Times New Roman" w:cs="Times New Roman"/>
          <w:sz w:val="28"/>
          <w:szCs w:val="28"/>
        </w:rPr>
        <w:t xml:space="preserve"> для детей с нормой развития и детей с ОВЗ.</w:t>
      </w:r>
    </w:p>
    <w:p w14:paraId="717195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как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проект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перспективного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развития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№4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5"/>
          <w:sz w:val="28"/>
          <w:szCs w:val="28"/>
          <w:lang w:val="ru-RU"/>
        </w:rPr>
        <w:t>"Вишенка"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г. Симферополя 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призвана:</w:t>
      </w:r>
    </w:p>
    <w:p w14:paraId="600484E7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обеспечить качественную реализацию государственного задания и всесторонне удовлетворение образовательных запросов субъектов образовательного процесса;</w:t>
      </w:r>
    </w:p>
    <w:p w14:paraId="53F68B05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обеспечить достижение целевых показателей Государственной программы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Российской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Федерации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«Развитие образования»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 срок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2018- 2025 годы (утвержденной постановлением Правительства Российской Федерации от 26 декабря 2017 г. № 1642) и стратегических целей Национального проекта «Образование» в деятельности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МБ</w:t>
      </w:r>
      <w:r>
        <w:rPr>
          <w:rFonts w:hint="default" w:ascii="Times New Roman" w:hAnsi="Times New Roman" w:cs="Times New Roman"/>
          <w:sz w:val="28"/>
          <w:szCs w:val="28"/>
        </w:rPr>
        <w:t>ДОУ;</w:t>
      </w:r>
    </w:p>
    <w:p w14:paraId="6F9D25F2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консолидировать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усилия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всех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заинтересованных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субъектов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образовательных отношений и социального окружения МБДОУ для достижения целей Программы.</w:t>
      </w:r>
    </w:p>
    <w:p w14:paraId="22F6091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Выполнение муниципального задания в 2023-2024г. происходило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учреждения.</w:t>
      </w:r>
    </w:p>
    <w:p w14:paraId="633F2F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Содержание программы развития МБДОУ отражает приоритетные направления развития учреждения в соответствии с обновленным ФГОС ДО, ФОП ДО, ФАОП ДО.</w:t>
      </w:r>
    </w:p>
    <w:p w14:paraId="12D6B2B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</w:t>
      </w:r>
      <w:r>
        <w:rPr>
          <w:rFonts w:hint="default" w:ascii="Times New Roman" w:hAnsi="Times New Roman" w:cs="Times New Roman"/>
          <w:spacing w:val="55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направлена</w:t>
      </w:r>
      <w:r>
        <w:rPr>
          <w:rFonts w:hint="default"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совершенствование</w:t>
      </w:r>
      <w:r>
        <w:rPr>
          <w:rFonts w:hint="default"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системы</w:t>
      </w:r>
      <w:r>
        <w:rPr>
          <w:rFonts w:hint="default"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управления,</w:t>
      </w:r>
    </w:p>
    <w:p w14:paraId="5581438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обеспечивающей реализацию широкого спектра образовательных услуг с учетом возрастных и индивидуальных особенностей дошкольников, потребности семьи и общества путем последовательного наращивания потенциала развития МБДОУ. </w:t>
      </w:r>
    </w:p>
    <w:p w14:paraId="71C0A16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2023-2024г. педагогический коллектив и администрация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МБ</w:t>
      </w:r>
      <w:r>
        <w:rPr>
          <w:rFonts w:hint="default" w:ascii="Times New Roman" w:hAnsi="Times New Roman" w:cs="Times New Roman"/>
          <w:sz w:val="28"/>
          <w:szCs w:val="28"/>
        </w:rPr>
        <w:t>ДОУ в соответствии с Программой развития решали задачи:</w:t>
      </w:r>
    </w:p>
    <w:p w14:paraId="5685BC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Повышение качества и доступности дошкольного образования в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соответствии с ФГОС ДО посредством обеспечения эффективного внутреннего управления ДО.</w:t>
      </w:r>
    </w:p>
    <w:p w14:paraId="44AC1B06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7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Реализация Образовательной программы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Адаптированной образовательной программы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40"/>
          <w:sz w:val="28"/>
          <w:szCs w:val="28"/>
          <w:lang w:val="ru-RU"/>
        </w:rPr>
        <w:t xml:space="preserve"> для обучающихся с нарушением функцй зрения(слабовидящие дети, дети с функциональным расстройством зрения) и </w:t>
      </w:r>
      <w:r>
        <w:rPr>
          <w:rFonts w:hint="default" w:ascii="Times New Roman" w:hAnsi="Times New Roman" w:cs="Times New Roman"/>
          <w:sz w:val="28"/>
          <w:szCs w:val="28"/>
        </w:rPr>
        <w:t>Адаптированной образовательной программы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дошкольного образования </w:t>
      </w:r>
      <w:r>
        <w:rPr>
          <w:rFonts w:hint="default" w:ascii="Times New Roman" w:hAnsi="Times New Roman" w:cs="Times New Roman"/>
          <w:spacing w:val="40"/>
          <w:sz w:val="28"/>
          <w:szCs w:val="28"/>
          <w:lang w:val="ru-RU"/>
        </w:rPr>
        <w:t xml:space="preserve">для обучающихся с тяжелыми нарушениями речи </w:t>
      </w:r>
      <w:r>
        <w:rPr>
          <w:rFonts w:hint="default" w:ascii="Times New Roman" w:hAnsi="Times New Roman" w:cs="Times New Roman"/>
          <w:sz w:val="28"/>
          <w:szCs w:val="28"/>
        </w:rPr>
        <w:t>МБДОУ №4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5"/>
          <w:sz w:val="28"/>
          <w:szCs w:val="28"/>
          <w:lang w:val="ru-RU"/>
        </w:rPr>
        <w:t>"Вишенка"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г. Симферополя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(утвержденной приказом от 31.08.2023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100, №112</w:t>
      </w:r>
      <w:r>
        <w:rPr>
          <w:rFonts w:hint="default" w:ascii="Times New Roman" w:hAnsi="Times New Roman" w:cs="Times New Roman"/>
          <w:sz w:val="28"/>
          <w:szCs w:val="28"/>
        </w:rPr>
        <w:t>) разработанной в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соответствии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 Федеральной образовательной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программой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дошкольного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 (ФОП ДО) и Федеральной адаптированной образовательной программой дошкольного образования (ФАОП ДО).</w:t>
      </w:r>
    </w:p>
    <w:p w14:paraId="734489F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необходимых условий для повышения квалификации, саморазвития и формирования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профессиональной компетентности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педагогов.</w:t>
      </w:r>
    </w:p>
    <w:p w14:paraId="53E1F57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-Создание условий для психолого-педагогического сопровождения, консультирования родителей по вопросам развития и образования детей дошкольного возраста и детей с ОВЗ;</w:t>
      </w:r>
    </w:p>
    <w:p w14:paraId="5807F736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эффективной системы выявления, поддержки и развития способностей у дошкольников.</w:t>
      </w:r>
    </w:p>
    <w:p w14:paraId="4947BFED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Развитие компетенций педагогических работников, необходимых для создания условий развития детей в соответствии с ФГОС дошкольного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образования:</w:t>
      </w:r>
    </w:p>
    <w:p w14:paraId="409C44A3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8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Разработка системы мероприятий, направленных на вовлечение педагогов в инновационную деятельность.</w:t>
      </w:r>
    </w:p>
    <w:p w14:paraId="5E27289F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Создание</w:t>
      </w:r>
      <w:r>
        <w:rPr>
          <w:rFonts w:hint="default" w:ascii="Times New Roman" w:hAnsi="Times New Roman" w:cs="Times New Roman"/>
          <w:sz w:val="28"/>
          <w:szCs w:val="28"/>
        </w:rPr>
        <w:t xml:space="preserve"> услуг дополнительного (вариативного) образования, как совокупность деятельности доступной для широких групп воспитанников.</w:t>
      </w:r>
    </w:p>
    <w:p w14:paraId="3E83EA6F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способностей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творческого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потенциала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детей.</w:t>
      </w:r>
    </w:p>
    <w:p w14:paraId="0E59B1C1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Разработка оценки эффективности инновационной модели образовательного пространства, обеспечивающей доступность и новое качество образования, и реализации программы развития.</w:t>
      </w:r>
    </w:p>
    <w:p w14:paraId="65515F18">
      <w:pPr>
        <w:pStyle w:val="6"/>
        <w:keepNext w:val="0"/>
        <w:keepLines w:val="0"/>
        <w:pageBreakBefore w:val="0"/>
        <w:widowControl w:val="0"/>
        <w:tabs>
          <w:tab w:val="left" w:pos="1456"/>
          <w:tab w:val="left" w:pos="38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-Совершенствование стратегии и тактики построения развивающей среды МБДОУ с учетом требований ФГОС ДО, способствующей самореализации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ребёнка в разных видах деятельности.</w:t>
      </w:r>
    </w:p>
    <w:p w14:paraId="198D458E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условий, обеспечивающих охрану и укрепление физического здоровья воспитанников, приобщение к ценностям здорового образа жизни.</w:t>
      </w:r>
    </w:p>
    <w:p w14:paraId="438CDE6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EFB605F">
      <w:pPr>
        <w:pStyle w:val="6"/>
        <w:keepNext w:val="0"/>
        <w:keepLines w:val="0"/>
        <w:pageBreakBefore w:val="0"/>
        <w:widowControl w:val="0"/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Программой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развития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были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определены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следующие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проекты:</w:t>
      </w:r>
    </w:p>
    <w:p w14:paraId="206F8CC5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  <w:tab w:val="left" w:pos="9460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>Проект №1. «ФОП и ФАОП дошкольного образования: новая политика в программном обеспечении»</w:t>
      </w:r>
    </w:p>
    <w:p w14:paraId="512ADD25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  <w:tab w:val="left" w:pos="9460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 Проект №2. «Педагог-Профессионал, Педагог - Мастер» </w:t>
      </w:r>
    </w:p>
    <w:p w14:paraId="24E61A5C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 xml:space="preserve">Проект №3 </w:t>
      </w:r>
      <w:r>
        <w:rPr>
          <w:rFonts w:hint="default" w:ascii="Times New Roman" w:hAnsi="Times New Roman" w:cs="Times New Roman"/>
          <w:bCs/>
          <w:sz w:val="28"/>
          <w:szCs w:val="28"/>
        </w:rPr>
        <w:t>«Формирование развивающей предметно-</w:t>
      </w:r>
    </w:p>
    <w:p w14:paraId="1645606E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пространственной среды как условия реализации основной образовательной программы дошкольного образования»</w:t>
      </w:r>
    </w:p>
    <w:p w14:paraId="18936B92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  <w:tab w:val="left" w:pos="9460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ar-SA"/>
        </w:rPr>
        <w:t xml:space="preserve">Проект№4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"Развитие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дополнительного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МБДОУ"</w:t>
      </w:r>
    </w:p>
    <w:p w14:paraId="52534F7E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  <w:tab w:val="left" w:pos="9460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contextualSpacing/>
        <w:jc w:val="both"/>
        <w:textAlignment w:val="auto"/>
        <w:rPr>
          <w:rFonts w:hint="default" w:ascii="Times New Roman" w:hAnsi="Times New Roman" w:cs="Times New Roman"/>
          <w:bCs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Проект №5«Моя</w:t>
      </w:r>
      <w:r>
        <w:rPr>
          <w:rFonts w:hint="default" w:ascii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родина</w:t>
      </w:r>
      <w:r>
        <w:rPr>
          <w:rFonts w:hint="default" w:ascii="Times New Roman" w:hAnsi="Times New Roman" w:cs="Times New Roman"/>
          <w:bCs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bCs/>
          <w:spacing w:val="-2"/>
          <w:sz w:val="28"/>
          <w:szCs w:val="28"/>
        </w:rPr>
        <w:t>Россия».</w:t>
      </w:r>
    </w:p>
    <w:p w14:paraId="1775FFDC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  <w:tab w:val="left" w:pos="9460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>Проект №6. «Поддержка семей, имеющих детей с ООП, ОВЗ».</w:t>
      </w:r>
    </w:p>
    <w:p w14:paraId="6D365CC5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  <w:tab w:val="left" w:pos="9460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>Проект №7. Ранняя профориентация дошкольников «Билет в будущее».</w:t>
      </w:r>
    </w:p>
    <w:p w14:paraId="5C4F03E9">
      <w:pPr>
        <w:pStyle w:val="6"/>
        <w:keepNext w:val="0"/>
        <w:keepLines w:val="0"/>
        <w:pageBreakBefore w:val="0"/>
        <w:widowControl w:val="0"/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8B66594">
      <w:pPr>
        <w:pStyle w:val="6"/>
        <w:keepNext w:val="0"/>
        <w:keepLines w:val="0"/>
        <w:pageBreakBefore w:val="0"/>
        <w:widowControl w:val="0"/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течение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учебного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года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каждому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проекту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велась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работа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достигнуты определенные результаты:</w:t>
      </w:r>
    </w:p>
    <w:p w14:paraId="27D839CD">
      <w:pPr>
        <w:keepNext w:val="0"/>
        <w:keepLines w:val="0"/>
        <w:pageBreakBefore w:val="0"/>
        <w:widowControl w:val="0"/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Проект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«ФОП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дошкольного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образования: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новая</w:t>
      </w:r>
      <w:r>
        <w:rPr>
          <w:rFonts w:hint="default"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политика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программном</w:t>
      </w:r>
    </w:p>
    <w:p w14:paraId="654593C9">
      <w:pPr>
        <w:pStyle w:val="6"/>
        <w:keepNext w:val="0"/>
        <w:keepLines w:val="0"/>
        <w:pageBreakBefore w:val="0"/>
        <w:widowControl w:val="0"/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5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обеспечении».</w:t>
      </w:r>
    </w:p>
    <w:p w14:paraId="79104438">
      <w:pPr>
        <w:pStyle w:val="8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546"/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дистанционно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прошли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курсы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повышения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квалификации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соответствии с обновленным ФГОС ДО и ФОП ДО, ФАОП ДО.</w:t>
      </w:r>
    </w:p>
    <w:p w14:paraId="23187D8C">
      <w:pPr>
        <w:pStyle w:val="8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465"/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созданы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условия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введения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ФОПДО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ФАОПДО.</w:t>
      </w:r>
    </w:p>
    <w:p w14:paraId="5958F427">
      <w:pPr>
        <w:pStyle w:val="8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465"/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проведена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созданию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РППС</w:t>
      </w:r>
    </w:p>
    <w:p w14:paraId="44528386">
      <w:pPr>
        <w:pStyle w:val="6"/>
        <w:keepNext w:val="0"/>
        <w:keepLines w:val="0"/>
        <w:pageBreakBefore w:val="0"/>
        <w:widowControl w:val="0"/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23EB69F">
      <w:pPr>
        <w:keepNext w:val="0"/>
        <w:keepLines w:val="0"/>
        <w:pageBreakBefore w:val="0"/>
        <w:widowControl w:val="0"/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Проект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Педагог-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профессионал»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  <w:t>, Педагог - Мастер»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.</w:t>
      </w:r>
    </w:p>
    <w:p w14:paraId="33BE0125">
      <w:pPr>
        <w:pStyle w:val="6"/>
        <w:keepNext w:val="0"/>
        <w:keepLines w:val="0"/>
        <w:pageBreakBefore w:val="0"/>
        <w:widowControl w:val="0"/>
        <w:tabs>
          <w:tab w:val="left" w:pos="6977"/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течение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учебного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года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обеспечивался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постоянный рост профессиональной компетентности педагогов МБДОУ через стимулирование педагогов к повышению качества работы. Педагоги прошли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своевременно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курсы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повышения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квалификации,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приняли участие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 методических мероприятиях в соответствии с годовым планом работы.</w:t>
      </w:r>
    </w:p>
    <w:p w14:paraId="54F8A50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течение учебного года педагоги активно делились педагогическими наработками, профессиональным опытом на разных муниципальных площадках, участвовали и добивались результатов в профессиональных педагогических конкурсах. Качественно осуществлялась наставническая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деятельность.</w:t>
      </w:r>
    </w:p>
    <w:p w14:paraId="31A5B0A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результате проведенных мероприятий, направленных на повышение профессиональной компетенции педагогов увеличилось число педагогов, имеющих первую и высшую квалификационную категорию.</w:t>
      </w:r>
    </w:p>
    <w:p w14:paraId="6D194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течение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учебного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года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активно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велась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работа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реализации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Проекта</w:t>
      </w:r>
    </w:p>
    <w:p w14:paraId="6BBE763E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contextualSpacing/>
        <w:jc w:val="both"/>
        <w:textAlignment w:val="auto"/>
        <w:rPr>
          <w:rFonts w:hint="default" w:ascii="Times New Roman" w:hAnsi="Times New Roman" w:cs="Times New Roman"/>
          <w:bCs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«Моя</w:t>
      </w:r>
      <w:r>
        <w:rPr>
          <w:rFonts w:hint="default" w:ascii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родина</w:t>
      </w:r>
      <w:r>
        <w:rPr>
          <w:rFonts w:hint="default" w:ascii="Times New Roman" w:hAnsi="Times New Roman" w:cs="Times New Roman"/>
          <w:bCs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bCs/>
          <w:spacing w:val="-2"/>
          <w:sz w:val="28"/>
          <w:szCs w:val="28"/>
        </w:rPr>
        <w:t>Россия».</w:t>
      </w:r>
    </w:p>
    <w:p w14:paraId="45196375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Проекта </w:t>
      </w:r>
      <w:r>
        <w:rPr>
          <w:rFonts w:hint="default" w:ascii="Times New Roman" w:hAnsi="Times New Roman" w:cs="Times New Roman"/>
          <w:bCs/>
          <w:sz w:val="28"/>
          <w:szCs w:val="28"/>
        </w:rPr>
        <w:t>«Формирование развивающей предметно-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пространственной среды как условия реализации основной образовательной программы дошкольного образования»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.</w:t>
      </w:r>
    </w:p>
    <w:p w14:paraId="4C4C1CD5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Педагогами пополнена РППС для реализации Программы «Крымский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веночек».</w:t>
      </w:r>
    </w:p>
    <w:p w14:paraId="3B9CC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sz w:val="28"/>
          <w:szCs w:val="28"/>
        </w:rPr>
        <w:t xml:space="preserve">а протяжение учебного года также велась работа по реализации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трех </w:t>
      </w:r>
      <w:r>
        <w:rPr>
          <w:rFonts w:hint="default" w:ascii="Times New Roman" w:hAnsi="Times New Roman" w:cs="Times New Roman"/>
          <w:sz w:val="28"/>
          <w:szCs w:val="28"/>
        </w:rPr>
        <w:t>проектов -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Проект « Поддержка семей, имеющих детей с ОВЗ, с ООП.</w:t>
      </w:r>
    </w:p>
    <w:p w14:paraId="63BF19A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Проект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>Ранняя профориентация дошкольников «Билет в будущее»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.</w:t>
      </w:r>
    </w:p>
    <w:p w14:paraId="228FFED7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5" w:firstLineChars="78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  <w:t xml:space="preserve">Проект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"Развитие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дополнительного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МБДОУ"</w:t>
      </w:r>
    </w:p>
    <w:p w14:paraId="39D5E735">
      <w:pPr>
        <w:pStyle w:val="6"/>
        <w:keepNext w:val="0"/>
        <w:keepLines w:val="0"/>
        <w:pageBreakBefore w:val="0"/>
        <w:widowControl w:val="0"/>
        <w:tabs>
          <w:tab w:val="left" w:pos="2317"/>
          <w:tab w:val="left" w:pos="3914"/>
          <w:tab w:val="left" w:pos="5991"/>
          <w:tab w:val="left" w:pos="7655"/>
          <w:tab w:val="left" w:pos="94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МБДОУ в течение учебного года активно взаимодействовало с различными организациями города. </w:t>
      </w:r>
    </w:p>
    <w:p w14:paraId="02700FDA">
      <w:pPr>
        <w:pStyle w:val="6"/>
        <w:keepNext w:val="0"/>
        <w:keepLines w:val="0"/>
        <w:pageBreakBefore w:val="0"/>
        <w:widowControl w:val="0"/>
        <w:tabs>
          <w:tab w:val="left" w:pos="2559"/>
          <w:tab w:val="left" w:pos="65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итогам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проведенных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мониторингов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анкетирования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родителей,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законных представителей выявлено,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82,6</w:t>
      </w:r>
      <w:r>
        <w:rPr>
          <w:rFonts w:hint="default" w:ascii="Times New Roman" w:hAnsi="Times New Roman" w:cs="Times New Roman"/>
          <w:sz w:val="28"/>
          <w:szCs w:val="28"/>
        </w:rPr>
        <w:t>% удовлетворенность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участников образовательных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отношений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качеством предоставляемых образовательных услуг повысился.</w:t>
      </w:r>
    </w:p>
    <w:p w14:paraId="3E3427C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течение учебного года родители активно участвовали в жизни ДОУ,</w:t>
      </w:r>
    </w:p>
    <w:p w14:paraId="5280456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принимали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участие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Акциях,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творческих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познавательных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конкурсах, спортивных соревнования, праздниках, тематических мероприятиях.</w:t>
      </w:r>
    </w:p>
    <w:p w14:paraId="755AC58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результатам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проведенного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анализа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можно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сделать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вывод,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Программа развития успешно реализуется, имеется положительная динамика по</w:t>
      </w:r>
    </w:p>
    <w:p w14:paraId="47073FF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реализации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всех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заявленных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Проектов.</w:t>
      </w:r>
    </w:p>
    <w:p w14:paraId="771638F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7608AA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4084D1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C834BE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Старший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воспитатель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3"/>
          <w:sz w:val="28"/>
          <w:szCs w:val="28"/>
          <w:lang w:val="ru-RU"/>
        </w:rPr>
        <w:t xml:space="preserve">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С.С. Джапар</w:t>
      </w:r>
    </w:p>
    <w:p w14:paraId="0873A52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689BC1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59247C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3A1F0F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2242FB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153D10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FC4420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B5E74E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8FD1F2C">
      <w:pPr>
        <w:pStyle w:val="6"/>
        <w:ind w:left="0"/>
      </w:pPr>
    </w:p>
    <w:p w14:paraId="6F6BEA51">
      <w:pPr>
        <w:pStyle w:val="6"/>
        <w:ind w:left="0"/>
      </w:pPr>
    </w:p>
    <w:p w14:paraId="63512FEB">
      <w:pPr>
        <w:pStyle w:val="6"/>
        <w:ind w:left="0"/>
      </w:pPr>
    </w:p>
    <w:p w14:paraId="13DF14C9">
      <w:pPr>
        <w:pStyle w:val="6"/>
        <w:ind w:left="0"/>
      </w:pPr>
    </w:p>
    <w:p w14:paraId="6778B256">
      <w:pPr>
        <w:pStyle w:val="6"/>
        <w:ind w:left="0"/>
      </w:pPr>
      <w:bookmarkStart w:id="2" w:name="_GoBack"/>
      <w:bookmarkEnd w:id="2"/>
    </w:p>
    <w:sectPr>
      <w:pgSz w:w="11910" w:h="16840"/>
      <w:pgMar w:top="620" w:right="400" w:bottom="28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716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54" w:hanging="15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88" w:hanging="15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23" w:hanging="15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57" w:hanging="15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92" w:hanging="15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6" w:hanging="15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0" w:hanging="15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5" w:hanging="159"/>
      </w:pPr>
      <w:rPr>
        <w:rFonts w:hint="default"/>
        <w:lang w:val="ru-RU" w:eastAsia="en-US" w:bidi="ar-SA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70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*"/>
      <w:lvlJc w:val="left"/>
      <w:pPr>
        <w:ind w:left="259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44" w:hanging="2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09" w:hanging="2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74" w:hanging="2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39" w:hanging="2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04" w:hanging="2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69" w:hanging="2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34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91B7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524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3">
    <w:name w:val="heading 2"/>
    <w:basedOn w:val="1"/>
    <w:qFormat/>
    <w:uiPriority w:val="1"/>
    <w:pPr>
      <w:spacing w:before="53"/>
      <w:ind w:left="259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259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59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pPr>
      <w:ind w:left="173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12</TotalTime>
  <ScaleCrop>false</ScaleCrop>
  <LinksUpToDate>false</LinksUpToDate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2024-06-28T06:17:00Z</dcterms:created>
  <dc:creator>Sad</dc:creator>
  <cp:lastModifiedBy>Сусана Джапар</cp:lastModifiedBy>
  <dcterms:modified xsi:type="dcterms:W3CDTF">2024-06-28T06:50:16Z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2024-06-28T00:00:00Z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1049-12.2.0.17119</vt:lpwstr>
  </property>
  <property fmtid="{D5CDD505-2E9C-101B-9397-08002B2CF9AE}" pid="7" name="ICV">
    <vt:lpwstr>4D863009841D4428943528FEF0FCE6BC_12</vt:lpwstr>
  </property>
</Properties>
</file>